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C5" w:rsidRDefault="000252C5" w:rsidP="00BE66ED">
      <w:pPr>
        <w:pStyle w:val="Title"/>
        <w:outlineLvl w:val="0"/>
        <w:rPr>
          <w:rFonts w:ascii="Verdana" w:hAnsi="Verdana" w:cs="Arial"/>
          <w:bCs w:val="0"/>
          <w:color w:val="000000"/>
          <w:sz w:val="24"/>
        </w:rPr>
      </w:pPr>
      <w:r w:rsidRPr="00C066BF">
        <w:rPr>
          <w:rFonts w:ascii="Verdana" w:hAnsi="Verdana" w:cs="Arial"/>
          <w:bCs w:val="0"/>
          <w:color w:val="000000"/>
          <w:sz w:val="24"/>
        </w:rPr>
        <w:t>Minnesota Department of Education</w:t>
      </w:r>
    </w:p>
    <w:p w:rsidR="000252C5" w:rsidRPr="00BE66ED" w:rsidRDefault="000252C5" w:rsidP="00BE66ED">
      <w:pPr>
        <w:pStyle w:val="Title"/>
        <w:outlineLvl w:val="0"/>
        <w:rPr>
          <w:rFonts w:ascii="Verdana" w:hAnsi="Verdana" w:cs="Arial"/>
          <w:bCs w:val="0"/>
          <w:color w:val="000000"/>
          <w:sz w:val="24"/>
        </w:rPr>
      </w:pPr>
      <w:r w:rsidRPr="00C066BF">
        <w:rPr>
          <w:rFonts w:ascii="Verdana" w:hAnsi="Verdana" w:cs="Arial"/>
          <w:bCs w:val="0"/>
          <w:color w:val="000000"/>
          <w:sz w:val="24"/>
        </w:rPr>
        <w:t>Adult Basic Education Office</w:t>
      </w:r>
    </w:p>
    <w:p w:rsidR="000252C5" w:rsidRDefault="004611C6" w:rsidP="00BE66E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23925" cy="876300"/>
            <wp:effectExtent l="19050" t="0" r="9525" b="0"/>
            <wp:docPr id="1" name="Picture 1" descr="a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2C5" w:rsidRDefault="000252C5" w:rsidP="00BE66ED">
      <w:pPr>
        <w:jc w:val="center"/>
        <w:rPr>
          <w:b/>
          <w:sz w:val="28"/>
          <w:szCs w:val="28"/>
          <w:u w:val="single"/>
        </w:rPr>
      </w:pPr>
      <w:r w:rsidRPr="00F9414F">
        <w:rPr>
          <w:b/>
          <w:sz w:val="28"/>
          <w:szCs w:val="28"/>
          <w:u w:val="single"/>
        </w:rPr>
        <w:t xml:space="preserve">FY </w:t>
      </w:r>
      <w:r w:rsidR="00F1239D">
        <w:rPr>
          <w:b/>
          <w:sz w:val="28"/>
          <w:szCs w:val="28"/>
          <w:u w:val="single"/>
        </w:rPr>
        <w:t>2011</w:t>
      </w:r>
      <w:r w:rsidR="00BD3CD8">
        <w:rPr>
          <w:b/>
          <w:sz w:val="28"/>
          <w:szCs w:val="28"/>
          <w:u w:val="single"/>
        </w:rPr>
        <w:t>-</w:t>
      </w:r>
      <w:r w:rsidR="00F1239D">
        <w:rPr>
          <w:b/>
          <w:sz w:val="28"/>
          <w:szCs w:val="28"/>
          <w:u w:val="single"/>
        </w:rPr>
        <w:t xml:space="preserve">2012 </w:t>
      </w:r>
      <w:r w:rsidRPr="00F9414F">
        <w:rPr>
          <w:b/>
          <w:sz w:val="28"/>
          <w:szCs w:val="28"/>
          <w:u w:val="single"/>
        </w:rPr>
        <w:t>Transition</w:t>
      </w:r>
      <w:r w:rsidR="00D336A3">
        <w:rPr>
          <w:b/>
          <w:sz w:val="28"/>
          <w:szCs w:val="28"/>
          <w:u w:val="single"/>
        </w:rPr>
        <w:t>s</w:t>
      </w:r>
      <w:r w:rsidRPr="00F9414F">
        <w:rPr>
          <w:b/>
          <w:sz w:val="28"/>
          <w:szCs w:val="28"/>
          <w:u w:val="single"/>
        </w:rPr>
        <w:t xml:space="preserve"> Activity Funding</w:t>
      </w:r>
    </w:p>
    <w:p w:rsidR="00A31036" w:rsidRPr="00A31036" w:rsidRDefault="00A31036" w:rsidP="00A31036">
      <w:pPr>
        <w:rPr>
          <w:rFonts w:asciiTheme="minorHAnsi" w:hAnsiTheme="minorHAnsi"/>
          <w:sz w:val="24"/>
          <w:szCs w:val="24"/>
        </w:rPr>
      </w:pPr>
      <w:r w:rsidRPr="00A31036">
        <w:rPr>
          <w:rFonts w:asciiTheme="minorHAnsi" w:hAnsiTheme="minorHAnsi"/>
          <w:sz w:val="24"/>
          <w:szCs w:val="24"/>
        </w:rPr>
        <w:t>This document provides a menu of transition to post-secondary and transition to employment activities that are allowed using multiple s</w:t>
      </w:r>
      <w:r w:rsidR="007B5A1D">
        <w:rPr>
          <w:rFonts w:asciiTheme="minorHAnsi" w:hAnsiTheme="minorHAnsi"/>
          <w:sz w:val="24"/>
          <w:szCs w:val="24"/>
        </w:rPr>
        <w:t>ources of funding during FY 2011-12</w:t>
      </w:r>
      <w:bookmarkStart w:id="0" w:name="_GoBack"/>
      <w:bookmarkEnd w:id="0"/>
      <w:r w:rsidRPr="00A31036">
        <w:rPr>
          <w:rFonts w:asciiTheme="minorHAnsi" w:hAnsiTheme="minorHAnsi"/>
          <w:sz w:val="24"/>
          <w:szCs w:val="24"/>
        </w:rPr>
        <w:t>.  Broadly speaking, the activities that an ABE transition region develops and implements are expected to:</w:t>
      </w:r>
    </w:p>
    <w:p w:rsidR="00A31036" w:rsidRPr="00A31036" w:rsidRDefault="00A31036" w:rsidP="00A31036">
      <w:pPr>
        <w:numPr>
          <w:ilvl w:val="0"/>
          <w:numId w:val="7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A31036">
        <w:rPr>
          <w:rFonts w:asciiTheme="minorHAnsi" w:hAnsiTheme="minorHAnsi"/>
          <w:sz w:val="24"/>
          <w:szCs w:val="24"/>
        </w:rPr>
        <w:t>Have a regional focus/impact for multiple ABE consortia or consortia members within the transition region</w:t>
      </w:r>
    </w:p>
    <w:p w:rsidR="00A31036" w:rsidRPr="00A31036" w:rsidRDefault="00A31036" w:rsidP="00A31036">
      <w:pPr>
        <w:numPr>
          <w:ilvl w:val="0"/>
          <w:numId w:val="7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A31036">
        <w:rPr>
          <w:rFonts w:asciiTheme="minorHAnsi" w:hAnsiTheme="minorHAnsi"/>
          <w:sz w:val="24"/>
          <w:szCs w:val="24"/>
        </w:rPr>
        <w:t>Be different than currently existing or routine ABE activities</w:t>
      </w:r>
    </w:p>
    <w:p w:rsidR="0033369F" w:rsidRPr="0033369F" w:rsidRDefault="00A31036" w:rsidP="0033369F">
      <w:pPr>
        <w:numPr>
          <w:ilvl w:val="0"/>
          <w:numId w:val="7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A31036">
        <w:rPr>
          <w:rFonts w:asciiTheme="minorHAnsi" w:hAnsiTheme="minorHAnsi"/>
          <w:sz w:val="24"/>
          <w:szCs w:val="24"/>
        </w:rPr>
        <w:t>Operate in partnership with the local or regional workforce center system</w:t>
      </w:r>
    </w:p>
    <w:p w:rsidR="00A31036" w:rsidRPr="00A31036" w:rsidRDefault="00A31036" w:rsidP="00A31036">
      <w:pPr>
        <w:numPr>
          <w:ilvl w:val="0"/>
          <w:numId w:val="7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A31036">
        <w:rPr>
          <w:rFonts w:asciiTheme="minorHAnsi" w:hAnsiTheme="minorHAnsi"/>
          <w:sz w:val="24"/>
          <w:szCs w:val="24"/>
        </w:rPr>
        <w:t>Leverage other resources from local partners</w:t>
      </w:r>
    </w:p>
    <w:p w:rsidR="00A31036" w:rsidRDefault="00A31036" w:rsidP="00A31036">
      <w:pPr>
        <w:numPr>
          <w:ilvl w:val="0"/>
          <w:numId w:val="7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A31036">
        <w:rPr>
          <w:rFonts w:asciiTheme="minorHAnsi" w:hAnsiTheme="minorHAnsi"/>
          <w:sz w:val="24"/>
          <w:szCs w:val="24"/>
        </w:rPr>
        <w:t>Contribute curricula, if developed, to the Minnesota Repository of Curricula (MNROC)</w:t>
      </w:r>
    </w:p>
    <w:p w:rsidR="0033369F" w:rsidRPr="00ED40D4" w:rsidRDefault="0033369F" w:rsidP="0033369F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</w:p>
    <w:p w:rsidR="00A31036" w:rsidRPr="00A31036" w:rsidRDefault="00A31036" w:rsidP="00A31036">
      <w:pPr>
        <w:rPr>
          <w:rFonts w:asciiTheme="minorHAnsi" w:hAnsiTheme="minorHAnsi"/>
          <w:sz w:val="24"/>
          <w:szCs w:val="24"/>
        </w:rPr>
      </w:pPr>
      <w:r w:rsidRPr="0033369F">
        <w:rPr>
          <w:rFonts w:asciiTheme="minorHAnsi" w:hAnsiTheme="minorHAnsi"/>
          <w:i/>
          <w:sz w:val="24"/>
          <w:szCs w:val="24"/>
        </w:rPr>
        <w:t>Please note that the first activity described is required of all plans.</w:t>
      </w:r>
      <w:r w:rsidRPr="00A31036">
        <w:rPr>
          <w:rFonts w:asciiTheme="minorHAnsi" w:hAnsiTheme="minorHAnsi"/>
          <w:sz w:val="24"/>
          <w:szCs w:val="24"/>
        </w:rPr>
        <w:t xml:space="preserve">  Activity two includes multiple menu options, but the plan must include one or more (preferably m</w:t>
      </w:r>
      <w:r>
        <w:rPr>
          <w:rFonts w:asciiTheme="minorHAnsi" w:hAnsiTheme="minorHAnsi"/>
          <w:sz w:val="24"/>
          <w:szCs w:val="24"/>
        </w:rPr>
        <w:t>ore) of this set of activities.</w:t>
      </w:r>
    </w:p>
    <w:p w:rsidR="00A31036" w:rsidRPr="00A930CB" w:rsidRDefault="002153F3" w:rsidP="00A31036">
      <w:pPr>
        <w:rPr>
          <w:rFonts w:asciiTheme="minorHAnsi" w:hAnsiTheme="minorHAnsi"/>
          <w:sz w:val="24"/>
          <w:szCs w:val="24"/>
        </w:rPr>
      </w:pPr>
      <w:r w:rsidRPr="00A930CB">
        <w:t>Workforce Development System includes but is not limited to L</w:t>
      </w:r>
      <w:r w:rsidR="00A930CB" w:rsidRPr="00A930CB">
        <w:t xml:space="preserve">ocal </w:t>
      </w:r>
      <w:r w:rsidRPr="00A930CB">
        <w:t>W</w:t>
      </w:r>
      <w:r w:rsidR="00A930CB" w:rsidRPr="00A930CB">
        <w:t xml:space="preserve">orkforce </w:t>
      </w:r>
      <w:r w:rsidRPr="00A930CB">
        <w:t>I</w:t>
      </w:r>
      <w:r w:rsidR="00A930CB" w:rsidRPr="00A930CB">
        <w:t xml:space="preserve">nvestment </w:t>
      </w:r>
      <w:r w:rsidRPr="00A930CB">
        <w:t>B</w:t>
      </w:r>
      <w:r w:rsidR="00A930CB" w:rsidRPr="00A930CB">
        <w:t>oards</w:t>
      </w:r>
      <w:r w:rsidRPr="00A930CB">
        <w:t>, W</w:t>
      </w:r>
      <w:r w:rsidR="00A930CB" w:rsidRPr="00A930CB">
        <w:t xml:space="preserve">orkforce </w:t>
      </w:r>
      <w:r w:rsidRPr="00A930CB">
        <w:t>S</w:t>
      </w:r>
      <w:r w:rsidR="00A930CB" w:rsidRPr="00A930CB">
        <w:t xml:space="preserve">ervice </w:t>
      </w:r>
      <w:r w:rsidRPr="00A930CB">
        <w:t>A</w:t>
      </w:r>
      <w:r w:rsidR="00A930CB" w:rsidRPr="00A930CB">
        <w:t>reas</w:t>
      </w:r>
      <w:r w:rsidRPr="00A930CB">
        <w:t xml:space="preserve">, DEED (WIA titles I, III, IV), community based organizations, TANF partners, other human service providers, etc.  </w:t>
      </w:r>
    </w:p>
    <w:p w:rsidR="009726AD" w:rsidRDefault="000252C5" w:rsidP="009726AD">
      <w:pPr>
        <w:rPr>
          <w:i/>
          <w:sz w:val="24"/>
          <w:szCs w:val="24"/>
        </w:rPr>
      </w:pPr>
      <w:r w:rsidRPr="00BE66ED">
        <w:rPr>
          <w:b/>
          <w:sz w:val="24"/>
          <w:szCs w:val="24"/>
        </w:rPr>
        <w:t>ACTIVITY ONE:</w:t>
      </w:r>
      <w:r w:rsidRPr="00BE66ED">
        <w:rPr>
          <w:sz w:val="24"/>
          <w:szCs w:val="24"/>
        </w:rPr>
        <w:t xml:space="preserve"> All Transitions Plans </w:t>
      </w:r>
      <w:r w:rsidRPr="00BE66ED">
        <w:rPr>
          <w:b/>
          <w:sz w:val="24"/>
          <w:szCs w:val="24"/>
        </w:rPr>
        <w:t>must</w:t>
      </w:r>
      <w:r w:rsidRPr="00BE66ED">
        <w:rPr>
          <w:sz w:val="24"/>
          <w:szCs w:val="24"/>
        </w:rPr>
        <w:t xml:space="preserve"> include development of this type of activity.</w:t>
      </w:r>
    </w:p>
    <w:p w:rsidR="00A31036" w:rsidRDefault="009726AD" w:rsidP="00C95DC3">
      <w:pPr>
        <w:ind w:left="270" w:hanging="270"/>
        <w:rPr>
          <w:i/>
          <w:sz w:val="24"/>
          <w:szCs w:val="24"/>
        </w:rPr>
      </w:pPr>
      <w:r>
        <w:rPr>
          <w:i/>
          <w:sz w:val="24"/>
          <w:szCs w:val="24"/>
        </w:rPr>
        <w:t>A.  D</w:t>
      </w:r>
      <w:r w:rsidR="003707EA">
        <w:rPr>
          <w:i/>
          <w:sz w:val="24"/>
          <w:szCs w:val="24"/>
        </w:rPr>
        <w:t xml:space="preserve">evelop or </w:t>
      </w:r>
      <w:r w:rsidR="000252C5" w:rsidRPr="00BD3CD8">
        <w:rPr>
          <w:i/>
          <w:sz w:val="24"/>
          <w:szCs w:val="24"/>
        </w:rPr>
        <w:t>enhance a career pathway project that involv</w:t>
      </w:r>
      <w:r w:rsidR="00BD3CD8">
        <w:rPr>
          <w:i/>
          <w:sz w:val="24"/>
          <w:szCs w:val="24"/>
        </w:rPr>
        <w:t xml:space="preserve">es Adult Basic Education (ABE), </w:t>
      </w:r>
      <w:r>
        <w:rPr>
          <w:i/>
          <w:sz w:val="24"/>
          <w:szCs w:val="24"/>
        </w:rPr>
        <w:t xml:space="preserve">    </w:t>
      </w:r>
      <w:r w:rsidR="002153F3">
        <w:rPr>
          <w:i/>
          <w:sz w:val="24"/>
          <w:szCs w:val="24"/>
        </w:rPr>
        <w:t xml:space="preserve">  </w:t>
      </w:r>
      <w:r w:rsidR="000252C5" w:rsidRPr="00BD3CD8">
        <w:rPr>
          <w:i/>
          <w:sz w:val="24"/>
          <w:szCs w:val="24"/>
        </w:rPr>
        <w:t>Minnesota State Colleges and Universities (</w:t>
      </w:r>
      <w:proofErr w:type="spellStart"/>
      <w:r w:rsidR="000252C5" w:rsidRPr="00BD3CD8">
        <w:rPr>
          <w:i/>
          <w:sz w:val="24"/>
          <w:szCs w:val="24"/>
        </w:rPr>
        <w:t>MnSCU</w:t>
      </w:r>
      <w:proofErr w:type="spellEnd"/>
      <w:r w:rsidR="000252C5" w:rsidRPr="00BD3CD8">
        <w:rPr>
          <w:i/>
          <w:sz w:val="24"/>
          <w:szCs w:val="24"/>
        </w:rPr>
        <w:t xml:space="preserve">), and </w:t>
      </w:r>
      <w:proofErr w:type="spellStart"/>
      <w:r w:rsidR="00BD3CD8">
        <w:rPr>
          <w:i/>
          <w:sz w:val="24"/>
          <w:szCs w:val="24"/>
        </w:rPr>
        <w:t>WorkForce</w:t>
      </w:r>
      <w:proofErr w:type="spellEnd"/>
      <w:r w:rsidR="00BD3CD8">
        <w:rPr>
          <w:i/>
          <w:sz w:val="24"/>
          <w:szCs w:val="24"/>
        </w:rPr>
        <w:t xml:space="preserve"> </w:t>
      </w:r>
      <w:r w:rsidR="00A930CB">
        <w:rPr>
          <w:i/>
          <w:sz w:val="24"/>
          <w:szCs w:val="24"/>
        </w:rPr>
        <w:t>Development System</w:t>
      </w:r>
      <w:r w:rsidR="000252C5" w:rsidRPr="00BD3CD8">
        <w:rPr>
          <w:i/>
          <w:sz w:val="24"/>
          <w:szCs w:val="24"/>
        </w:rPr>
        <w:t xml:space="preserve"> around a</w:t>
      </w:r>
      <w:r w:rsidR="00417524">
        <w:rPr>
          <w:i/>
          <w:sz w:val="24"/>
          <w:szCs w:val="24"/>
        </w:rPr>
        <w:t xml:space="preserve"> high growth, high</w:t>
      </w:r>
      <w:r w:rsidR="000252C5" w:rsidRPr="00BD3CD8">
        <w:rPr>
          <w:i/>
          <w:sz w:val="24"/>
          <w:szCs w:val="24"/>
        </w:rPr>
        <w:t xml:space="preserve"> demand occupation</w:t>
      </w:r>
      <w:r w:rsidR="000252C5" w:rsidRPr="00BD3CD8">
        <w:rPr>
          <w:sz w:val="24"/>
          <w:szCs w:val="24"/>
        </w:rPr>
        <w:t xml:space="preserve"> – At a minimum, this would include development</w:t>
      </w:r>
      <w:r w:rsidR="002D5725">
        <w:rPr>
          <w:sz w:val="24"/>
          <w:szCs w:val="24"/>
        </w:rPr>
        <w:t xml:space="preserve"> and/or </w:t>
      </w:r>
      <w:r w:rsidR="00417524">
        <w:rPr>
          <w:sz w:val="24"/>
          <w:szCs w:val="24"/>
        </w:rPr>
        <w:t>enhancement</w:t>
      </w:r>
      <w:r w:rsidR="000252C5" w:rsidRPr="00BD3CD8">
        <w:rPr>
          <w:sz w:val="24"/>
          <w:szCs w:val="24"/>
        </w:rPr>
        <w:t xml:space="preserve"> of one or more instructional modules (e.g. Bridge Prep, Bridge II, Integrated</w:t>
      </w:r>
      <w:r w:rsidR="00417524">
        <w:rPr>
          <w:sz w:val="24"/>
          <w:szCs w:val="24"/>
        </w:rPr>
        <w:t xml:space="preserve"> I ABE</w:t>
      </w:r>
      <w:r w:rsidR="000252C5" w:rsidRPr="00BD3CD8">
        <w:rPr>
          <w:sz w:val="24"/>
          <w:szCs w:val="24"/>
        </w:rPr>
        <w:t>) along the</w:t>
      </w:r>
      <w:r w:rsidR="009E1F60">
        <w:rPr>
          <w:sz w:val="24"/>
          <w:szCs w:val="24"/>
        </w:rPr>
        <w:t xml:space="preserve"> Minnesota </w:t>
      </w:r>
      <w:proofErr w:type="spellStart"/>
      <w:r w:rsidR="009E1F60">
        <w:rPr>
          <w:sz w:val="24"/>
          <w:szCs w:val="24"/>
        </w:rPr>
        <w:t>FastTRAC</w:t>
      </w:r>
      <w:proofErr w:type="spellEnd"/>
      <w:r w:rsidR="009E1F60">
        <w:rPr>
          <w:sz w:val="24"/>
          <w:szCs w:val="24"/>
        </w:rPr>
        <w:t xml:space="preserve"> Program Model</w:t>
      </w:r>
      <w:r w:rsidR="002153F3">
        <w:rPr>
          <w:sz w:val="24"/>
          <w:szCs w:val="24"/>
        </w:rPr>
        <w:t xml:space="preserve"> (attached).</w:t>
      </w:r>
      <w:r w:rsidR="000252C5" w:rsidRPr="00BD3CD8">
        <w:rPr>
          <w:sz w:val="24"/>
          <w:szCs w:val="24"/>
        </w:rPr>
        <w:t>This pathway project must include a plan for articulation between the lower and higher end of the pathway. This will assist the ABE learner with seamless transitions between instructional levels.</w:t>
      </w:r>
    </w:p>
    <w:p w:rsidR="002153F3" w:rsidRPr="002153F3" w:rsidRDefault="002153F3">
      <w:pPr>
        <w:rPr>
          <w:i/>
          <w:sz w:val="24"/>
          <w:szCs w:val="24"/>
        </w:rPr>
      </w:pPr>
    </w:p>
    <w:p w:rsidR="000252C5" w:rsidRDefault="000252C5">
      <w:pPr>
        <w:rPr>
          <w:sz w:val="24"/>
          <w:szCs w:val="24"/>
        </w:rPr>
      </w:pPr>
      <w:r w:rsidRPr="00BE66ED">
        <w:rPr>
          <w:b/>
          <w:sz w:val="24"/>
          <w:szCs w:val="24"/>
        </w:rPr>
        <w:lastRenderedPageBreak/>
        <w:t>ACTIVITY TWO:</w:t>
      </w:r>
      <w:r w:rsidRPr="00BE66ED">
        <w:rPr>
          <w:sz w:val="24"/>
          <w:szCs w:val="24"/>
        </w:rPr>
        <w:t xml:space="preserve"> In addition to Activity One, transitions plans may also include some of the activities listed below. </w:t>
      </w:r>
    </w:p>
    <w:p w:rsidR="003D50CD" w:rsidRDefault="003D50CD">
      <w:pPr>
        <w:rPr>
          <w:sz w:val="24"/>
          <w:szCs w:val="24"/>
        </w:rPr>
      </w:pPr>
      <w:r>
        <w:rPr>
          <w:sz w:val="24"/>
          <w:szCs w:val="24"/>
        </w:rPr>
        <w:t>To accomplish these activities and projects, the transition budget may be used to support extended and/or intensified RTC time (salary). Those budget decisions should be made by the ABE managers in the ABE transitions region.</w:t>
      </w:r>
    </w:p>
    <w:p w:rsidR="000252C5" w:rsidRPr="00BD3CD8" w:rsidRDefault="00322A39" w:rsidP="00F1239D">
      <w:pPr>
        <w:ind w:left="360"/>
        <w:rPr>
          <w:sz w:val="24"/>
          <w:szCs w:val="24"/>
        </w:rPr>
      </w:pPr>
      <w:r>
        <w:rPr>
          <w:i/>
          <w:sz w:val="24"/>
          <w:szCs w:val="24"/>
        </w:rPr>
        <w:t>B</w:t>
      </w:r>
      <w:r w:rsidR="00F1239D">
        <w:rPr>
          <w:i/>
          <w:sz w:val="24"/>
          <w:szCs w:val="24"/>
        </w:rPr>
        <w:t>.</w:t>
      </w:r>
      <w:r w:rsidR="00BD3CD8">
        <w:rPr>
          <w:i/>
          <w:sz w:val="24"/>
          <w:szCs w:val="24"/>
        </w:rPr>
        <w:tab/>
      </w:r>
      <w:r w:rsidR="000252C5" w:rsidRPr="00BD3CD8">
        <w:rPr>
          <w:i/>
          <w:sz w:val="24"/>
          <w:szCs w:val="24"/>
        </w:rPr>
        <w:t xml:space="preserve">Increased employer involvement in regional </w:t>
      </w:r>
      <w:proofErr w:type="spellStart"/>
      <w:r w:rsidR="000252C5" w:rsidRPr="00BD3CD8">
        <w:rPr>
          <w:i/>
          <w:sz w:val="24"/>
          <w:szCs w:val="24"/>
        </w:rPr>
        <w:t>FastTRAC</w:t>
      </w:r>
      <w:proofErr w:type="spellEnd"/>
      <w:r w:rsidR="000252C5" w:rsidRPr="00BD3CD8">
        <w:rPr>
          <w:i/>
          <w:sz w:val="24"/>
          <w:szCs w:val="24"/>
        </w:rPr>
        <w:t xml:space="preserve"> programming and other career pathway or transition to employment activities</w:t>
      </w:r>
      <w:r w:rsidR="000252C5" w:rsidRPr="00BD3CD8">
        <w:rPr>
          <w:sz w:val="24"/>
          <w:szCs w:val="24"/>
        </w:rPr>
        <w:t xml:space="preserve"> – For exampl</w:t>
      </w:r>
      <w:r w:rsidR="009D5C47">
        <w:rPr>
          <w:sz w:val="24"/>
          <w:szCs w:val="24"/>
        </w:rPr>
        <w:t xml:space="preserve">e, ABE providers and local </w:t>
      </w:r>
      <w:proofErr w:type="spellStart"/>
      <w:r w:rsidR="009D5C47">
        <w:rPr>
          <w:sz w:val="24"/>
          <w:szCs w:val="24"/>
        </w:rPr>
        <w:t>WorkF</w:t>
      </w:r>
      <w:r w:rsidR="000252C5" w:rsidRPr="00BD3CD8">
        <w:rPr>
          <w:sz w:val="24"/>
          <w:szCs w:val="24"/>
        </w:rPr>
        <w:t>orce</w:t>
      </w:r>
      <w:proofErr w:type="spellEnd"/>
      <w:r w:rsidR="000252C5" w:rsidRPr="00BD3CD8">
        <w:rPr>
          <w:sz w:val="24"/>
          <w:szCs w:val="24"/>
        </w:rPr>
        <w:t xml:space="preserve"> Center </w:t>
      </w:r>
      <w:r w:rsidR="009D5C47">
        <w:rPr>
          <w:sz w:val="24"/>
          <w:szCs w:val="24"/>
        </w:rPr>
        <w:t xml:space="preserve">System </w:t>
      </w:r>
      <w:r w:rsidR="000252C5" w:rsidRPr="00BD3CD8">
        <w:rPr>
          <w:sz w:val="24"/>
          <w:szCs w:val="24"/>
        </w:rPr>
        <w:t>staff will organize and convene meetings with local employers to build support for career pathway (i.e.-</w:t>
      </w:r>
      <w:proofErr w:type="spellStart"/>
      <w:r w:rsidR="000252C5" w:rsidRPr="00BD3CD8">
        <w:rPr>
          <w:sz w:val="24"/>
          <w:szCs w:val="24"/>
        </w:rPr>
        <w:t>FastTRAC</w:t>
      </w:r>
      <w:proofErr w:type="spellEnd"/>
      <w:r w:rsidR="000252C5" w:rsidRPr="00BD3CD8">
        <w:rPr>
          <w:sz w:val="24"/>
          <w:szCs w:val="24"/>
        </w:rPr>
        <w:t>) projects that are designed to meet the immediate employment needs of local or regional businesses.</w:t>
      </w:r>
    </w:p>
    <w:p w:rsidR="000252C5" w:rsidRPr="00F1239D" w:rsidRDefault="00322A39" w:rsidP="00F1239D">
      <w:pPr>
        <w:ind w:left="360"/>
        <w:rPr>
          <w:sz w:val="24"/>
          <w:szCs w:val="24"/>
        </w:rPr>
      </w:pPr>
      <w:r>
        <w:rPr>
          <w:i/>
          <w:sz w:val="24"/>
          <w:szCs w:val="24"/>
        </w:rPr>
        <w:t>C</w:t>
      </w:r>
      <w:r w:rsidR="00BD3CD8">
        <w:rPr>
          <w:i/>
          <w:sz w:val="24"/>
          <w:szCs w:val="24"/>
        </w:rPr>
        <w:t>.</w:t>
      </w:r>
      <w:r w:rsidR="00F1239D">
        <w:rPr>
          <w:i/>
          <w:sz w:val="24"/>
          <w:szCs w:val="24"/>
        </w:rPr>
        <w:t xml:space="preserve"> </w:t>
      </w:r>
      <w:r w:rsidR="00417524">
        <w:rPr>
          <w:i/>
          <w:sz w:val="24"/>
          <w:szCs w:val="24"/>
        </w:rPr>
        <w:t xml:space="preserve">Development of work experience </w:t>
      </w:r>
      <w:r w:rsidR="003707EA">
        <w:rPr>
          <w:i/>
          <w:sz w:val="24"/>
          <w:szCs w:val="24"/>
        </w:rPr>
        <w:t>opportunities</w:t>
      </w:r>
      <w:r w:rsidR="000252C5" w:rsidRPr="00BD3CD8">
        <w:rPr>
          <w:i/>
          <w:sz w:val="24"/>
          <w:szCs w:val="24"/>
        </w:rPr>
        <w:t xml:space="preserve">– </w:t>
      </w:r>
      <w:r w:rsidR="000252C5" w:rsidRPr="00BD3CD8">
        <w:rPr>
          <w:sz w:val="24"/>
          <w:szCs w:val="24"/>
        </w:rPr>
        <w:t>Significant numbers of common ABE and workforce system clients lack credible work histories and/or vocational skills. Activities will be developed and managed cooperatively between ABE and a workforce training system to design short-term internship programs and longer term apprenticeship programs.</w:t>
      </w:r>
    </w:p>
    <w:p w:rsidR="000252C5" w:rsidRDefault="00322A39" w:rsidP="00286DBB">
      <w:pPr>
        <w:ind w:left="360"/>
        <w:rPr>
          <w:sz w:val="24"/>
          <w:szCs w:val="24"/>
        </w:rPr>
      </w:pPr>
      <w:r>
        <w:rPr>
          <w:i/>
          <w:sz w:val="24"/>
          <w:szCs w:val="24"/>
        </w:rPr>
        <w:t>D</w:t>
      </w:r>
      <w:r w:rsidR="00286DBB">
        <w:rPr>
          <w:i/>
          <w:sz w:val="24"/>
          <w:szCs w:val="24"/>
        </w:rPr>
        <w:t xml:space="preserve">. </w:t>
      </w:r>
      <w:r w:rsidR="000252C5" w:rsidRPr="00BD3CD8">
        <w:rPr>
          <w:i/>
          <w:sz w:val="24"/>
          <w:szCs w:val="24"/>
        </w:rPr>
        <w:t xml:space="preserve">Other projects as approved – </w:t>
      </w:r>
      <w:r w:rsidR="000252C5" w:rsidRPr="00BD3CD8">
        <w:rPr>
          <w:sz w:val="24"/>
          <w:szCs w:val="24"/>
        </w:rPr>
        <w:t xml:space="preserve">Projects must </w:t>
      </w:r>
      <w:r w:rsidR="004609E8">
        <w:rPr>
          <w:sz w:val="24"/>
          <w:szCs w:val="24"/>
        </w:rPr>
        <w:t>be preapproved</w:t>
      </w:r>
      <w:r w:rsidR="00F56221">
        <w:rPr>
          <w:sz w:val="24"/>
          <w:szCs w:val="24"/>
        </w:rPr>
        <w:t xml:space="preserve"> by the Minnesota Department of Education-Adult Basic Education</w:t>
      </w:r>
      <w:r w:rsidR="004609E8">
        <w:rPr>
          <w:sz w:val="24"/>
          <w:szCs w:val="24"/>
        </w:rPr>
        <w:t>.</w:t>
      </w:r>
    </w:p>
    <w:p w:rsidR="000252C5" w:rsidRDefault="00286DBB" w:rsidP="008833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OVERVIEW </w:t>
      </w:r>
      <w:r w:rsidR="000252C5" w:rsidRPr="00FE09E7">
        <w:rPr>
          <w:b/>
          <w:sz w:val="24"/>
          <w:szCs w:val="24"/>
        </w:rPr>
        <w:t>FUNDING</w:t>
      </w:r>
      <w:r w:rsidR="000252C5">
        <w:rPr>
          <w:b/>
          <w:sz w:val="24"/>
          <w:szCs w:val="24"/>
        </w:rPr>
        <w:t xml:space="preserve"> – </w:t>
      </w:r>
      <w:r w:rsidR="000252C5" w:rsidRPr="009462EA">
        <w:rPr>
          <w:sz w:val="24"/>
          <w:szCs w:val="24"/>
        </w:rPr>
        <w:t xml:space="preserve">see </w:t>
      </w:r>
      <w:r w:rsidR="00A41999">
        <w:rPr>
          <w:sz w:val="24"/>
          <w:szCs w:val="24"/>
        </w:rPr>
        <w:t>“Transitions Activity Funding” Spreadsheet</w:t>
      </w:r>
    </w:p>
    <w:p w:rsidR="00945F97" w:rsidRPr="00945F97" w:rsidRDefault="00945F97" w:rsidP="00945F97">
      <w:pPr>
        <w:pStyle w:val="ListParagraph"/>
        <w:numPr>
          <w:ilvl w:val="0"/>
          <w:numId w:val="6"/>
        </w:numPr>
        <w:rPr>
          <w:i/>
          <w:sz w:val="24"/>
          <w:szCs w:val="24"/>
        </w:rPr>
      </w:pPr>
      <w:r w:rsidRPr="00945F97">
        <w:rPr>
          <w:i/>
          <w:sz w:val="24"/>
          <w:szCs w:val="24"/>
        </w:rPr>
        <w:t xml:space="preserve">Federal </w:t>
      </w:r>
      <w:r w:rsidR="009726AD">
        <w:rPr>
          <w:i/>
          <w:sz w:val="24"/>
          <w:szCs w:val="24"/>
        </w:rPr>
        <w:t xml:space="preserve">ABE </w:t>
      </w:r>
      <w:r w:rsidRPr="00945F97">
        <w:rPr>
          <w:i/>
          <w:sz w:val="24"/>
          <w:szCs w:val="24"/>
        </w:rPr>
        <w:t>Transitions Aid</w:t>
      </w:r>
    </w:p>
    <w:p w:rsidR="007B314D" w:rsidRPr="009726AD" w:rsidRDefault="00945F97" w:rsidP="009726AD">
      <w:pPr>
        <w:ind w:left="360"/>
        <w:rPr>
          <w:sz w:val="24"/>
          <w:szCs w:val="24"/>
        </w:rPr>
      </w:pPr>
      <w:r w:rsidRPr="009726AD">
        <w:rPr>
          <w:sz w:val="24"/>
          <w:szCs w:val="24"/>
        </w:rPr>
        <w:t>Y</w:t>
      </w:r>
      <w:r w:rsidR="00286DBB">
        <w:rPr>
          <w:sz w:val="24"/>
          <w:szCs w:val="24"/>
        </w:rPr>
        <w:t>ear Two</w:t>
      </w:r>
      <w:r w:rsidR="000252C5" w:rsidRPr="009726AD">
        <w:rPr>
          <w:sz w:val="24"/>
          <w:szCs w:val="24"/>
        </w:rPr>
        <w:t xml:space="preserve"> of the ABE Transitions Aid from MDE-ABE will provide $20,000 to ten Transition</w:t>
      </w:r>
      <w:r w:rsidR="00A41999" w:rsidRPr="009726AD">
        <w:rPr>
          <w:sz w:val="24"/>
          <w:szCs w:val="24"/>
        </w:rPr>
        <w:t xml:space="preserve">s </w:t>
      </w:r>
      <w:r w:rsidR="00582103" w:rsidRPr="009726AD">
        <w:rPr>
          <w:sz w:val="24"/>
          <w:szCs w:val="24"/>
        </w:rPr>
        <w:t>areas including</w:t>
      </w:r>
      <w:r w:rsidR="000252C5" w:rsidRPr="009726AD">
        <w:rPr>
          <w:sz w:val="24"/>
          <w:szCs w:val="24"/>
        </w:rPr>
        <w:t xml:space="preserve"> </w:t>
      </w:r>
      <w:r w:rsidR="00A41999" w:rsidRPr="009726AD">
        <w:rPr>
          <w:sz w:val="24"/>
          <w:szCs w:val="24"/>
        </w:rPr>
        <w:t>the seven ABE Regions and</w:t>
      </w:r>
      <w:r w:rsidR="00286DBB">
        <w:rPr>
          <w:sz w:val="24"/>
          <w:szCs w:val="24"/>
        </w:rPr>
        <w:t xml:space="preserve"> </w:t>
      </w:r>
      <w:r w:rsidR="000252C5" w:rsidRPr="009726AD">
        <w:rPr>
          <w:sz w:val="24"/>
          <w:szCs w:val="24"/>
        </w:rPr>
        <w:t>– St. Paul, Minneapolis, and the</w:t>
      </w:r>
      <w:r w:rsidR="00A41999" w:rsidRPr="009726AD">
        <w:rPr>
          <w:sz w:val="24"/>
          <w:szCs w:val="24"/>
        </w:rPr>
        <w:t xml:space="preserve"> Department of Corrections (DOC)</w:t>
      </w:r>
      <w:r w:rsidR="000252C5" w:rsidRPr="009726AD">
        <w:rPr>
          <w:sz w:val="24"/>
          <w:szCs w:val="24"/>
        </w:rPr>
        <w:t xml:space="preserve">.  </w:t>
      </w:r>
      <w:r w:rsidR="00A41999" w:rsidRPr="009726AD">
        <w:rPr>
          <w:sz w:val="24"/>
          <w:szCs w:val="24"/>
        </w:rPr>
        <w:t>The $20,000 is available start</w:t>
      </w:r>
      <w:r w:rsidR="00582103">
        <w:rPr>
          <w:sz w:val="24"/>
          <w:szCs w:val="24"/>
        </w:rPr>
        <w:t>ing July 1, 2011 – June 30, 2012</w:t>
      </w:r>
      <w:r w:rsidR="00A41999" w:rsidRPr="009726AD">
        <w:rPr>
          <w:sz w:val="24"/>
          <w:szCs w:val="24"/>
        </w:rPr>
        <w:t xml:space="preserve">. </w:t>
      </w:r>
    </w:p>
    <w:p w:rsidR="000252C5" w:rsidRPr="00FE09E7" w:rsidRDefault="007B314D" w:rsidP="009726AD">
      <w:pPr>
        <w:ind w:left="360"/>
        <w:rPr>
          <w:sz w:val="24"/>
          <w:szCs w:val="24"/>
        </w:rPr>
      </w:pPr>
      <w:r>
        <w:rPr>
          <w:sz w:val="24"/>
          <w:szCs w:val="24"/>
        </w:rPr>
        <w:t>The</w:t>
      </w:r>
      <w:r w:rsidR="000252C5">
        <w:rPr>
          <w:sz w:val="24"/>
          <w:szCs w:val="24"/>
        </w:rPr>
        <w:t xml:space="preserve"> funding is distributed through the Adult Basic Education consortium that is currently the fiscal agent for the Regional Transitions Coordinator, </w:t>
      </w:r>
      <w:r w:rsidR="000252C5" w:rsidRPr="007B314D">
        <w:rPr>
          <w:sz w:val="24"/>
          <w:szCs w:val="24"/>
        </w:rPr>
        <w:t>and</w:t>
      </w:r>
      <w:r w:rsidR="00582103">
        <w:rPr>
          <w:sz w:val="24"/>
          <w:szCs w:val="24"/>
        </w:rPr>
        <w:t xml:space="preserve"> to </w:t>
      </w:r>
      <w:r w:rsidR="000252C5">
        <w:rPr>
          <w:sz w:val="24"/>
          <w:szCs w:val="24"/>
        </w:rPr>
        <w:t xml:space="preserve">St. Paul, </w:t>
      </w:r>
      <w:smartTag w:uri="urn:schemas-microsoft-com:office:smarttags" w:element="place">
        <w:r w:rsidR="000252C5">
          <w:rPr>
            <w:sz w:val="24"/>
            <w:szCs w:val="24"/>
          </w:rPr>
          <w:t>Minneapolis</w:t>
        </w:r>
      </w:smartTag>
      <w:r w:rsidR="000252C5">
        <w:rPr>
          <w:sz w:val="24"/>
          <w:szCs w:val="24"/>
        </w:rPr>
        <w:t xml:space="preserve">, and DOC. </w:t>
      </w:r>
    </w:p>
    <w:p w:rsidR="00945F97" w:rsidRPr="007701A2" w:rsidRDefault="00945F97" w:rsidP="00945F97">
      <w:pPr>
        <w:pStyle w:val="ListParagraph"/>
        <w:numPr>
          <w:ilvl w:val="0"/>
          <w:numId w:val="6"/>
        </w:numPr>
        <w:rPr>
          <w:i/>
          <w:sz w:val="24"/>
          <w:szCs w:val="24"/>
        </w:rPr>
      </w:pPr>
      <w:r w:rsidRPr="007701A2">
        <w:rPr>
          <w:i/>
          <w:sz w:val="24"/>
          <w:szCs w:val="24"/>
        </w:rPr>
        <w:t xml:space="preserve">Workforce </w:t>
      </w:r>
      <w:r w:rsidR="009726AD" w:rsidRPr="007701A2">
        <w:rPr>
          <w:i/>
          <w:sz w:val="24"/>
          <w:szCs w:val="24"/>
        </w:rPr>
        <w:t>Investment Act (WIA) Incentive G</w:t>
      </w:r>
      <w:r w:rsidRPr="007701A2">
        <w:rPr>
          <w:i/>
          <w:sz w:val="24"/>
          <w:szCs w:val="24"/>
        </w:rPr>
        <w:t>rant</w:t>
      </w:r>
    </w:p>
    <w:p w:rsidR="00945F97" w:rsidRPr="007701A2" w:rsidRDefault="007B314D" w:rsidP="009726AD">
      <w:pPr>
        <w:ind w:left="360"/>
        <w:rPr>
          <w:sz w:val="24"/>
          <w:szCs w:val="24"/>
        </w:rPr>
      </w:pPr>
      <w:r w:rsidRPr="007701A2">
        <w:rPr>
          <w:sz w:val="24"/>
          <w:szCs w:val="24"/>
        </w:rPr>
        <w:t xml:space="preserve">The regions mentioned above will also receive $35,000 in Workforce Investment Act (WIA) Incentive grants. </w:t>
      </w:r>
      <w:r w:rsidR="00945F97" w:rsidRPr="007701A2">
        <w:rPr>
          <w:sz w:val="24"/>
          <w:szCs w:val="24"/>
        </w:rPr>
        <w:t xml:space="preserve">This funding is available from </w:t>
      </w:r>
      <w:r w:rsidR="00030D88" w:rsidRPr="007701A2">
        <w:rPr>
          <w:sz w:val="24"/>
          <w:szCs w:val="24"/>
        </w:rPr>
        <w:t>April 1, 2012 through March 31, 2013</w:t>
      </w:r>
      <w:r w:rsidR="00945F97" w:rsidRPr="007701A2">
        <w:rPr>
          <w:sz w:val="24"/>
          <w:szCs w:val="24"/>
        </w:rPr>
        <w:t xml:space="preserve">. </w:t>
      </w:r>
      <w:r w:rsidR="000252C5" w:rsidRPr="007701A2">
        <w:rPr>
          <w:sz w:val="24"/>
          <w:szCs w:val="24"/>
        </w:rPr>
        <w:t xml:space="preserve">The </w:t>
      </w:r>
      <w:r w:rsidR="00945F97" w:rsidRPr="007701A2">
        <w:rPr>
          <w:sz w:val="24"/>
          <w:szCs w:val="24"/>
        </w:rPr>
        <w:t xml:space="preserve">$35,000 </w:t>
      </w:r>
      <w:r w:rsidR="000252C5" w:rsidRPr="007701A2">
        <w:rPr>
          <w:sz w:val="24"/>
          <w:szCs w:val="24"/>
        </w:rPr>
        <w:t>will be distributed through the Minnesota Workforce Council Association (MWCA)</w:t>
      </w:r>
      <w:r w:rsidR="00945F97" w:rsidRPr="007701A2">
        <w:rPr>
          <w:sz w:val="24"/>
          <w:szCs w:val="24"/>
        </w:rPr>
        <w:t xml:space="preserve"> through invoices</w:t>
      </w:r>
      <w:r w:rsidR="000252C5" w:rsidRPr="007701A2">
        <w:rPr>
          <w:sz w:val="24"/>
          <w:szCs w:val="24"/>
        </w:rPr>
        <w:t xml:space="preserve">. </w:t>
      </w:r>
    </w:p>
    <w:p w:rsidR="00945F97" w:rsidRPr="0087508A" w:rsidRDefault="00696263" w:rsidP="0087508A">
      <w:pPr>
        <w:ind w:left="360"/>
        <w:rPr>
          <w:sz w:val="24"/>
          <w:szCs w:val="24"/>
        </w:rPr>
      </w:pPr>
      <w:r w:rsidRPr="007701A2">
        <w:rPr>
          <w:sz w:val="24"/>
          <w:szCs w:val="24"/>
        </w:rPr>
        <w:t xml:space="preserve">In an attempt to simplify reporting, the two funding opportunities mentioned above will be combined into one proposal/reporting document. Each ABE area will be asked to submit a </w:t>
      </w:r>
      <w:r w:rsidRPr="007701A2">
        <w:rPr>
          <w:sz w:val="24"/>
          <w:szCs w:val="24"/>
        </w:rPr>
        <w:lastRenderedPageBreak/>
        <w:t xml:space="preserve">proposal that needs to be pre-approved by MDE-ABE. </w:t>
      </w:r>
      <w:r w:rsidR="004310E7" w:rsidRPr="007701A2">
        <w:rPr>
          <w:sz w:val="24"/>
          <w:szCs w:val="24"/>
        </w:rPr>
        <w:t xml:space="preserve">Once the </w:t>
      </w:r>
      <w:r w:rsidRPr="007701A2">
        <w:rPr>
          <w:sz w:val="24"/>
          <w:szCs w:val="24"/>
        </w:rPr>
        <w:t xml:space="preserve">proposal </w:t>
      </w:r>
      <w:r w:rsidR="004310E7" w:rsidRPr="007701A2">
        <w:rPr>
          <w:sz w:val="24"/>
          <w:szCs w:val="24"/>
        </w:rPr>
        <w:t>has been approved an ABE area can immediately access the $20,000 in Federal Transitions Aid and access the WIA $35,000 incentive grant</w:t>
      </w:r>
      <w:r w:rsidR="00030D88" w:rsidRPr="007701A2">
        <w:rPr>
          <w:sz w:val="24"/>
          <w:szCs w:val="24"/>
        </w:rPr>
        <w:t xml:space="preserve"> in April of 2012</w:t>
      </w:r>
      <w:r w:rsidR="004310E7" w:rsidRPr="007701A2">
        <w:rPr>
          <w:sz w:val="24"/>
          <w:szCs w:val="24"/>
        </w:rPr>
        <w:t>. Please be aware that t</w:t>
      </w:r>
      <w:r w:rsidRPr="007701A2">
        <w:rPr>
          <w:sz w:val="24"/>
          <w:szCs w:val="24"/>
        </w:rPr>
        <w:t>his report combines two different funding streams with different timelines for spen</w:t>
      </w:r>
      <w:r w:rsidR="001B1A79" w:rsidRPr="007701A2">
        <w:rPr>
          <w:sz w:val="24"/>
          <w:szCs w:val="24"/>
        </w:rPr>
        <w:t>ding the funds and different ways</w:t>
      </w:r>
      <w:r w:rsidRPr="007701A2">
        <w:rPr>
          <w:sz w:val="24"/>
          <w:szCs w:val="24"/>
        </w:rPr>
        <w:t xml:space="preserve"> to access the funding. </w:t>
      </w:r>
      <w:r w:rsidR="00030D88" w:rsidRPr="007701A2">
        <w:rPr>
          <w:sz w:val="24"/>
          <w:szCs w:val="24"/>
        </w:rPr>
        <w:t>You must submit a budget template (the excel file) for the $35,000 WIA Incentive funding.</w:t>
      </w:r>
    </w:p>
    <w:p w:rsidR="009726AD" w:rsidRPr="009726AD" w:rsidRDefault="009726AD" w:rsidP="00945F97">
      <w:pPr>
        <w:pStyle w:val="ListParagraph"/>
        <w:numPr>
          <w:ilvl w:val="0"/>
          <w:numId w:val="6"/>
        </w:numPr>
        <w:rPr>
          <w:i/>
          <w:sz w:val="24"/>
          <w:szCs w:val="24"/>
        </w:rPr>
      </w:pPr>
      <w:r w:rsidRPr="009726AD">
        <w:rPr>
          <w:i/>
          <w:sz w:val="24"/>
          <w:szCs w:val="24"/>
        </w:rPr>
        <w:t>Regional Transitions Coordinator</w:t>
      </w:r>
      <w:r>
        <w:rPr>
          <w:i/>
          <w:sz w:val="24"/>
          <w:szCs w:val="24"/>
        </w:rPr>
        <w:t xml:space="preserve"> (RTC)</w:t>
      </w:r>
      <w:r w:rsidRPr="009726AD">
        <w:rPr>
          <w:i/>
          <w:sz w:val="24"/>
          <w:szCs w:val="24"/>
        </w:rPr>
        <w:t xml:space="preserve"> Funding</w:t>
      </w:r>
    </w:p>
    <w:p w:rsidR="006F3848" w:rsidRDefault="009726AD" w:rsidP="00030D88">
      <w:pPr>
        <w:ind w:left="360"/>
        <w:rPr>
          <w:sz w:val="24"/>
          <w:szCs w:val="24"/>
        </w:rPr>
      </w:pPr>
      <w:r>
        <w:rPr>
          <w:sz w:val="24"/>
          <w:szCs w:val="24"/>
        </w:rPr>
        <w:t>Several regions have appreciated the important work that the Regional Transitions Coordinators complete. If a region chooses to continue the work of a Regional Transitions Coordinator then that region should budget WIA Incentive Grant funding to support a RTC’s salary</w:t>
      </w:r>
      <w:r w:rsidR="00ED40D4">
        <w:rPr>
          <w:sz w:val="24"/>
          <w:szCs w:val="24"/>
        </w:rPr>
        <w:t xml:space="preserve"> </w:t>
      </w:r>
      <w:r w:rsidR="00030D88">
        <w:rPr>
          <w:sz w:val="24"/>
          <w:szCs w:val="24"/>
        </w:rPr>
        <w:t>after March 31, 2012.</w:t>
      </w:r>
      <w:r>
        <w:rPr>
          <w:sz w:val="24"/>
          <w:szCs w:val="24"/>
        </w:rPr>
        <w:t xml:space="preserve"> </w:t>
      </w:r>
    </w:p>
    <w:p w:rsidR="000252C5" w:rsidRDefault="006F3848" w:rsidP="008833C1">
      <w:pPr>
        <w:rPr>
          <w:b/>
          <w:sz w:val="24"/>
          <w:szCs w:val="24"/>
        </w:rPr>
      </w:pPr>
      <w:r w:rsidRPr="006F3848">
        <w:rPr>
          <w:b/>
          <w:sz w:val="24"/>
          <w:szCs w:val="24"/>
        </w:rPr>
        <w:t>FORM DIRECTIONS</w:t>
      </w:r>
    </w:p>
    <w:p w:rsidR="00ED40D4" w:rsidRPr="00ED40D4" w:rsidRDefault="00ED40D4" w:rsidP="008833C1">
      <w:pPr>
        <w:rPr>
          <w:sz w:val="24"/>
          <w:szCs w:val="24"/>
        </w:rPr>
      </w:pPr>
      <w:r>
        <w:rPr>
          <w:sz w:val="24"/>
          <w:szCs w:val="24"/>
        </w:rPr>
        <w:t xml:space="preserve">Reporting for the Federal Transitions Aid </w:t>
      </w:r>
      <w:r w:rsidR="00030D88">
        <w:rPr>
          <w:sz w:val="24"/>
          <w:szCs w:val="24"/>
        </w:rPr>
        <w:t>and for WIA Incentive Grant 2011-2012</w:t>
      </w:r>
      <w:r>
        <w:rPr>
          <w:sz w:val="24"/>
          <w:szCs w:val="24"/>
        </w:rPr>
        <w:t xml:space="preserve"> will be combined.</w:t>
      </w:r>
    </w:p>
    <w:p w:rsidR="006F3848" w:rsidRDefault="006F3848" w:rsidP="008833C1">
      <w:pPr>
        <w:rPr>
          <w:sz w:val="24"/>
          <w:szCs w:val="24"/>
        </w:rPr>
      </w:pPr>
      <w:r>
        <w:rPr>
          <w:sz w:val="24"/>
          <w:szCs w:val="24"/>
        </w:rPr>
        <w:t>The attached template is formatted to include the proposal, interim report and the final report.</w:t>
      </w:r>
      <w:r w:rsidR="00ED40D4">
        <w:rPr>
          <w:sz w:val="24"/>
          <w:szCs w:val="24"/>
        </w:rPr>
        <w:t xml:space="preserve"> </w:t>
      </w:r>
      <w:r w:rsidR="00030D88">
        <w:rPr>
          <w:sz w:val="24"/>
          <w:szCs w:val="24"/>
        </w:rPr>
        <w:t>In addition, you will need to complete a budget template for the WIA Incentive funding.</w:t>
      </w:r>
    </w:p>
    <w:p w:rsidR="00030D88" w:rsidRPr="006F3848" w:rsidRDefault="00030D88" w:rsidP="008833C1">
      <w:pPr>
        <w:rPr>
          <w:sz w:val="24"/>
          <w:szCs w:val="24"/>
        </w:rPr>
      </w:pPr>
      <w:r>
        <w:rPr>
          <w:sz w:val="24"/>
          <w:szCs w:val="24"/>
        </w:rPr>
        <w:t>Please keep in mind that the final report for the 2010-2011 is due April 30, 2012.</w:t>
      </w:r>
    </w:p>
    <w:p w:rsidR="006F3848" w:rsidRPr="006F3848" w:rsidRDefault="006F3848" w:rsidP="006F3848">
      <w:pPr>
        <w:tabs>
          <w:tab w:val="left" w:pos="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FY </w:t>
      </w:r>
      <w:r w:rsidR="00030D88">
        <w:rPr>
          <w:rFonts w:asciiTheme="minorHAnsi" w:hAnsiTheme="minorHAnsi" w:cs="Arial"/>
          <w:sz w:val="24"/>
          <w:szCs w:val="24"/>
        </w:rPr>
        <w:t xml:space="preserve">2011-2012 </w:t>
      </w:r>
      <w:r w:rsidRPr="006F3848">
        <w:rPr>
          <w:rFonts w:asciiTheme="minorHAnsi" w:hAnsiTheme="minorHAnsi" w:cs="Arial"/>
          <w:sz w:val="24"/>
          <w:szCs w:val="24"/>
        </w:rPr>
        <w:t>award letters for ten ABE fiscal agents include a line item aid category denoted as Federal Transition Aid. In order to receive that aid, ABE Regions, Minneapolis, Saint Paul, and the Department of Corrections must do the following:</w:t>
      </w:r>
    </w:p>
    <w:p w:rsidR="006F3848" w:rsidRPr="006F3848" w:rsidRDefault="006F3848" w:rsidP="006F3848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6F3848">
        <w:rPr>
          <w:rFonts w:asciiTheme="minorHAnsi" w:hAnsiTheme="minorHAnsi" w:cs="Arial"/>
          <w:sz w:val="24"/>
          <w:szCs w:val="24"/>
        </w:rPr>
        <w:t>Complete and submit the attached proposal by</w:t>
      </w:r>
      <w:r w:rsidR="007701A2">
        <w:rPr>
          <w:rFonts w:asciiTheme="minorHAnsi" w:hAnsiTheme="minorHAnsi" w:cs="Arial"/>
          <w:b/>
          <w:sz w:val="24"/>
          <w:szCs w:val="24"/>
        </w:rPr>
        <w:t xml:space="preserve"> October 14</w:t>
      </w:r>
      <w:r w:rsidR="00030D88">
        <w:rPr>
          <w:rFonts w:asciiTheme="minorHAnsi" w:hAnsiTheme="minorHAnsi" w:cs="Arial"/>
          <w:b/>
          <w:sz w:val="24"/>
          <w:szCs w:val="24"/>
        </w:rPr>
        <w:t>, 2011</w:t>
      </w:r>
      <w:r w:rsidRPr="006F3848">
        <w:rPr>
          <w:rFonts w:asciiTheme="minorHAnsi" w:hAnsiTheme="minorHAnsi" w:cs="Arial"/>
          <w:b/>
          <w:sz w:val="24"/>
          <w:szCs w:val="24"/>
        </w:rPr>
        <w:t>.</w:t>
      </w:r>
      <w:r w:rsidRPr="006F3848">
        <w:rPr>
          <w:rFonts w:asciiTheme="minorHAnsi" w:hAnsiTheme="minorHAnsi" w:cs="Arial"/>
          <w:sz w:val="24"/>
          <w:szCs w:val="24"/>
        </w:rPr>
        <w:t xml:space="preserve"> (Please e-mail the proposal to </w:t>
      </w:r>
      <w:r w:rsidR="00030D88">
        <w:rPr>
          <w:rFonts w:asciiTheme="minorHAnsi" w:hAnsiTheme="minorHAnsi" w:cs="Arial"/>
          <w:sz w:val="24"/>
          <w:szCs w:val="24"/>
        </w:rPr>
        <w:t>Julie Dincau at Julie.Dincau@state.mn.us)</w:t>
      </w:r>
    </w:p>
    <w:p w:rsidR="006F3848" w:rsidRPr="006F3848" w:rsidRDefault="006F3848" w:rsidP="006F3848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6F3848">
        <w:rPr>
          <w:rFonts w:asciiTheme="minorHAnsi" w:hAnsiTheme="minorHAnsi" w:cs="Arial"/>
          <w:sz w:val="24"/>
          <w:szCs w:val="24"/>
        </w:rPr>
        <w:t>Receive proposal approval from MDE-ABE;</w:t>
      </w:r>
    </w:p>
    <w:p w:rsidR="006F3848" w:rsidRPr="006F3848" w:rsidRDefault="006F3848" w:rsidP="006F3848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6F3848">
        <w:rPr>
          <w:rFonts w:asciiTheme="minorHAnsi" w:hAnsiTheme="minorHAnsi" w:cs="Arial"/>
          <w:sz w:val="24"/>
          <w:szCs w:val="24"/>
        </w:rPr>
        <w:t xml:space="preserve">Conduct the activities described in the proposal </w:t>
      </w:r>
    </w:p>
    <w:p w:rsidR="006F3848" w:rsidRPr="006F3848" w:rsidRDefault="006F3848" w:rsidP="006F3848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6F3848">
        <w:rPr>
          <w:rFonts w:asciiTheme="minorHAnsi" w:hAnsiTheme="minorHAnsi" w:cs="Arial"/>
          <w:sz w:val="24"/>
          <w:szCs w:val="24"/>
        </w:rPr>
        <w:t>Submit an</w:t>
      </w:r>
      <w:r w:rsidR="00030D88">
        <w:rPr>
          <w:rFonts w:asciiTheme="minorHAnsi" w:hAnsiTheme="minorHAnsi" w:cs="Arial"/>
          <w:sz w:val="24"/>
          <w:szCs w:val="24"/>
        </w:rPr>
        <w:t xml:space="preserve"> interim Report by July 31, 2012</w:t>
      </w:r>
    </w:p>
    <w:p w:rsidR="006F3848" w:rsidRDefault="006F3848" w:rsidP="006F384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6F3848">
        <w:rPr>
          <w:rFonts w:asciiTheme="minorHAnsi" w:hAnsiTheme="minorHAnsi" w:cs="Arial"/>
          <w:sz w:val="24"/>
          <w:szCs w:val="24"/>
        </w:rPr>
        <w:t xml:space="preserve">Submit </w:t>
      </w:r>
      <w:r w:rsidR="00030D88">
        <w:rPr>
          <w:rFonts w:asciiTheme="minorHAnsi" w:hAnsiTheme="minorHAnsi" w:cs="Arial"/>
          <w:sz w:val="24"/>
          <w:szCs w:val="24"/>
        </w:rPr>
        <w:t>a final report by April 30, 2013</w:t>
      </w:r>
      <w:r w:rsidRPr="006F3848">
        <w:rPr>
          <w:rFonts w:asciiTheme="minorHAnsi" w:hAnsiTheme="minorHAnsi" w:cs="Arial"/>
          <w:sz w:val="24"/>
          <w:szCs w:val="24"/>
        </w:rPr>
        <w:t>.</w:t>
      </w:r>
    </w:p>
    <w:p w:rsidR="00F94852" w:rsidRDefault="00F94852" w:rsidP="00F948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F94852" w:rsidRDefault="00F94852" w:rsidP="00F948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If you have any questions regarding this document or the template please contact: </w:t>
      </w:r>
    </w:p>
    <w:p w:rsidR="00F94852" w:rsidRDefault="00F94852" w:rsidP="00F948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F94852" w:rsidRDefault="00F94852" w:rsidP="00F948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Julie Dincau</w:t>
      </w:r>
    </w:p>
    <w:p w:rsidR="00F94852" w:rsidRDefault="00F94852" w:rsidP="00F948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ABE Transitions Specialist</w:t>
      </w:r>
    </w:p>
    <w:p w:rsidR="00F94852" w:rsidRDefault="00F94852" w:rsidP="00F948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651-582-8681</w:t>
      </w:r>
    </w:p>
    <w:p w:rsidR="00F94852" w:rsidRPr="006F3848" w:rsidRDefault="00F94852" w:rsidP="00F948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Julie.Dincau@state.mn.us</w:t>
      </w:r>
    </w:p>
    <w:p w:rsidR="006F3848" w:rsidRPr="00BE66ED" w:rsidRDefault="006F3848" w:rsidP="008833C1">
      <w:pPr>
        <w:rPr>
          <w:sz w:val="24"/>
          <w:szCs w:val="24"/>
        </w:rPr>
      </w:pPr>
    </w:p>
    <w:sectPr w:rsidR="006F3848" w:rsidRPr="00BE66ED" w:rsidSect="00E22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A1D" w:rsidRDefault="007B5A1D" w:rsidP="004310E7">
      <w:pPr>
        <w:spacing w:after="0" w:line="240" w:lineRule="auto"/>
      </w:pPr>
      <w:r>
        <w:separator/>
      </w:r>
    </w:p>
  </w:endnote>
  <w:endnote w:type="continuationSeparator" w:id="0">
    <w:p w:rsidR="007B5A1D" w:rsidRDefault="007B5A1D" w:rsidP="0043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A1D" w:rsidRDefault="007B5A1D" w:rsidP="004310E7">
      <w:pPr>
        <w:spacing w:after="0" w:line="240" w:lineRule="auto"/>
      </w:pPr>
      <w:r>
        <w:separator/>
      </w:r>
    </w:p>
  </w:footnote>
  <w:footnote w:type="continuationSeparator" w:id="0">
    <w:p w:rsidR="007B5A1D" w:rsidRDefault="007B5A1D" w:rsidP="00431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3972"/>
    <w:multiLevelType w:val="hybridMultilevel"/>
    <w:tmpl w:val="39AE4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88212A"/>
    <w:multiLevelType w:val="hybridMultilevel"/>
    <w:tmpl w:val="1762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F17BD"/>
    <w:multiLevelType w:val="hybridMultilevel"/>
    <w:tmpl w:val="661A5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EF098C"/>
    <w:multiLevelType w:val="hybridMultilevel"/>
    <w:tmpl w:val="5E64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C6EB6"/>
    <w:multiLevelType w:val="hybridMultilevel"/>
    <w:tmpl w:val="1ABAB690"/>
    <w:lvl w:ilvl="0" w:tplc="8C4CB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97C55"/>
    <w:multiLevelType w:val="hybridMultilevel"/>
    <w:tmpl w:val="92D0A7EC"/>
    <w:lvl w:ilvl="0" w:tplc="C80AE1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3B0EDA"/>
    <w:multiLevelType w:val="hybridMultilevel"/>
    <w:tmpl w:val="994A5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26214"/>
    <w:multiLevelType w:val="hybridMultilevel"/>
    <w:tmpl w:val="7DC6B272"/>
    <w:lvl w:ilvl="0" w:tplc="8C4CB71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1C6"/>
    <w:rsid w:val="00004C4A"/>
    <w:rsid w:val="000252C5"/>
    <w:rsid w:val="00030D88"/>
    <w:rsid w:val="00085B71"/>
    <w:rsid w:val="000E6D0C"/>
    <w:rsid w:val="00107D35"/>
    <w:rsid w:val="001B1A79"/>
    <w:rsid w:val="001E12B1"/>
    <w:rsid w:val="002153F3"/>
    <w:rsid w:val="00286DBB"/>
    <w:rsid w:val="002D5725"/>
    <w:rsid w:val="00322A39"/>
    <w:rsid w:val="0033369F"/>
    <w:rsid w:val="00333867"/>
    <w:rsid w:val="003707EA"/>
    <w:rsid w:val="003C3E1A"/>
    <w:rsid w:val="003C5FB0"/>
    <w:rsid w:val="003D3638"/>
    <w:rsid w:val="003D50CD"/>
    <w:rsid w:val="00417524"/>
    <w:rsid w:val="004221C6"/>
    <w:rsid w:val="004310E7"/>
    <w:rsid w:val="004609E8"/>
    <w:rsid w:val="004611C6"/>
    <w:rsid w:val="004F5E00"/>
    <w:rsid w:val="00511253"/>
    <w:rsid w:val="00540DDC"/>
    <w:rsid w:val="0057321F"/>
    <w:rsid w:val="00582103"/>
    <w:rsid w:val="005C1435"/>
    <w:rsid w:val="00604584"/>
    <w:rsid w:val="006305E1"/>
    <w:rsid w:val="00672609"/>
    <w:rsid w:val="00696263"/>
    <w:rsid w:val="006B02A8"/>
    <w:rsid w:val="006D35D2"/>
    <w:rsid w:val="006F3848"/>
    <w:rsid w:val="007173D5"/>
    <w:rsid w:val="00727EF9"/>
    <w:rsid w:val="007701A2"/>
    <w:rsid w:val="00774064"/>
    <w:rsid w:val="0077513E"/>
    <w:rsid w:val="00793B58"/>
    <w:rsid w:val="007B314D"/>
    <w:rsid w:val="007B5A1D"/>
    <w:rsid w:val="007D5B1F"/>
    <w:rsid w:val="0087508A"/>
    <w:rsid w:val="008833C1"/>
    <w:rsid w:val="0088353A"/>
    <w:rsid w:val="0089068B"/>
    <w:rsid w:val="008F083D"/>
    <w:rsid w:val="008F3A12"/>
    <w:rsid w:val="00900D2A"/>
    <w:rsid w:val="009228BE"/>
    <w:rsid w:val="00945F97"/>
    <w:rsid w:val="009462EA"/>
    <w:rsid w:val="0095296F"/>
    <w:rsid w:val="009726AD"/>
    <w:rsid w:val="00973C48"/>
    <w:rsid w:val="009B5068"/>
    <w:rsid w:val="009C50AA"/>
    <w:rsid w:val="009D5C47"/>
    <w:rsid w:val="009E112F"/>
    <w:rsid w:val="009E1F60"/>
    <w:rsid w:val="009F382F"/>
    <w:rsid w:val="009F4320"/>
    <w:rsid w:val="009F461E"/>
    <w:rsid w:val="00A31036"/>
    <w:rsid w:val="00A41999"/>
    <w:rsid w:val="00A64358"/>
    <w:rsid w:val="00A930CB"/>
    <w:rsid w:val="00AA0984"/>
    <w:rsid w:val="00AB12BF"/>
    <w:rsid w:val="00AC488C"/>
    <w:rsid w:val="00AD6AD8"/>
    <w:rsid w:val="00B10D13"/>
    <w:rsid w:val="00B21FBF"/>
    <w:rsid w:val="00B351FB"/>
    <w:rsid w:val="00B50167"/>
    <w:rsid w:val="00B955EC"/>
    <w:rsid w:val="00BC25F2"/>
    <w:rsid w:val="00BD3CD8"/>
    <w:rsid w:val="00BE66ED"/>
    <w:rsid w:val="00BF69CC"/>
    <w:rsid w:val="00C066BF"/>
    <w:rsid w:val="00C45B52"/>
    <w:rsid w:val="00C95DC3"/>
    <w:rsid w:val="00D169E7"/>
    <w:rsid w:val="00D336A3"/>
    <w:rsid w:val="00D51849"/>
    <w:rsid w:val="00D566A2"/>
    <w:rsid w:val="00DC5117"/>
    <w:rsid w:val="00DE02B2"/>
    <w:rsid w:val="00E213A4"/>
    <w:rsid w:val="00E228B0"/>
    <w:rsid w:val="00E461DA"/>
    <w:rsid w:val="00E52777"/>
    <w:rsid w:val="00EB50A1"/>
    <w:rsid w:val="00EC50DD"/>
    <w:rsid w:val="00ED40D4"/>
    <w:rsid w:val="00F035AA"/>
    <w:rsid w:val="00F1131E"/>
    <w:rsid w:val="00F1239D"/>
    <w:rsid w:val="00F56221"/>
    <w:rsid w:val="00F57CC0"/>
    <w:rsid w:val="00F60C59"/>
    <w:rsid w:val="00F70962"/>
    <w:rsid w:val="00F7206C"/>
    <w:rsid w:val="00F9414F"/>
    <w:rsid w:val="00F94852"/>
    <w:rsid w:val="00FE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2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E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66E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BE66E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BE66ED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31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0E7"/>
  </w:style>
  <w:style w:type="paragraph" w:styleId="Footer">
    <w:name w:val="footer"/>
    <w:basedOn w:val="Normal"/>
    <w:link w:val="FooterChar"/>
    <w:uiPriority w:val="99"/>
    <w:semiHidden/>
    <w:unhideWhenUsed/>
    <w:rsid w:val="00431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10E7"/>
  </w:style>
  <w:style w:type="character" w:styleId="Hyperlink">
    <w:name w:val="Hyperlink"/>
    <w:basedOn w:val="DefaultParagraphFont"/>
    <w:rsid w:val="006F38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7A0D2-6BC0-447C-9865-0214968B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903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Department of Education</vt:lpstr>
    </vt:vector>
  </TitlesOfParts>
  <Company>Minnesota Department of Education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Department of Education</dc:title>
  <dc:subject/>
  <dc:creator>JDincau</dc:creator>
  <cp:keywords/>
  <dc:description/>
  <cp:lastModifiedBy>JDincau</cp:lastModifiedBy>
  <cp:revision>5</cp:revision>
  <cp:lastPrinted>2012-07-19T20:57:00Z</cp:lastPrinted>
  <dcterms:created xsi:type="dcterms:W3CDTF">2011-09-09T18:08:00Z</dcterms:created>
  <dcterms:modified xsi:type="dcterms:W3CDTF">2012-07-19T21:16:00Z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-190493828</vt:i4>
  </property>
</Properties>
</file>