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F6" w:rsidRPr="00F57D00" w:rsidRDefault="00F20BF6" w:rsidP="00F57D00">
      <w:pPr>
        <w:pStyle w:val="Heading1"/>
        <w:spacing w:before="0" w:after="0"/>
        <w:rPr>
          <w:color w:val="244061" w:themeColor="accent1" w:themeShade="80"/>
        </w:rPr>
      </w:pPr>
      <w:r w:rsidRPr="00F57D00">
        <w:rPr>
          <w:color w:val="244061" w:themeColor="accent1" w:themeShade="80"/>
        </w:rPr>
        <w:t>THE WORKFORCE INNOVATION AND OPPORTUNITY ACT (WIOA)</w:t>
      </w:r>
    </w:p>
    <w:p w:rsidR="00190AFA" w:rsidRPr="00F57D00" w:rsidRDefault="00190AFA" w:rsidP="00F57D00">
      <w:pPr>
        <w:spacing w:before="0" w:after="0"/>
        <w:rPr>
          <w:i/>
          <w:color w:val="244061" w:themeColor="accent1" w:themeShade="80"/>
        </w:rPr>
      </w:pPr>
      <w:r w:rsidRPr="00F57D00">
        <w:rPr>
          <w:i/>
          <w:color w:val="244061" w:themeColor="accent1" w:themeShade="80"/>
        </w:rPr>
        <w:t>United States Department of Education</w:t>
      </w:r>
    </w:p>
    <w:p w:rsidR="00F20BF6" w:rsidRPr="00F57D00" w:rsidRDefault="00F20BF6" w:rsidP="00F57D00">
      <w:pPr>
        <w:pStyle w:val="Heading2"/>
        <w:spacing w:before="120" w:after="120"/>
        <w:rPr>
          <w:color w:val="632423" w:themeColor="accent2" w:themeShade="80"/>
        </w:rPr>
      </w:pPr>
      <w:r w:rsidRPr="00F57D00">
        <w:rPr>
          <w:color w:val="632423" w:themeColor="accent2" w:themeShade="80"/>
        </w:rPr>
        <w:t>O</w:t>
      </w:r>
      <w:r w:rsidR="00190AFA" w:rsidRPr="00F57D00">
        <w:rPr>
          <w:color w:val="632423" w:themeColor="accent2" w:themeShade="80"/>
        </w:rPr>
        <w:t>verview</w:t>
      </w:r>
      <w:r w:rsidRPr="00F57D00">
        <w:rPr>
          <w:color w:val="632423" w:themeColor="accent2" w:themeShade="80"/>
        </w:rPr>
        <w:t xml:space="preserve"> </w:t>
      </w:r>
    </w:p>
    <w:p w:rsidR="00F20BF6" w:rsidRDefault="00F20BF6" w:rsidP="00F20BF6">
      <w:pPr>
        <w:rPr>
          <w:rFonts w:ascii="Calibri" w:hAnsi="Calibri"/>
        </w:rPr>
      </w:pPr>
      <w:r w:rsidRPr="000C3ED3">
        <w:rPr>
          <w:rFonts w:ascii="Calibri" w:hAnsi="Calibri"/>
        </w:rPr>
        <w:t xml:space="preserve">On July 22, 2014, President Barack Obama signed into law the WIOA, which revises and reauthorizes the </w:t>
      </w:r>
      <w:r w:rsidRPr="000C3ED3">
        <w:rPr>
          <w:rFonts w:ascii="Calibri" w:hAnsi="Calibri"/>
          <w:b/>
          <w:i/>
        </w:rPr>
        <w:t>Workforce Investment Act of 1998</w:t>
      </w:r>
      <w:r w:rsidRPr="000C3ED3">
        <w:rPr>
          <w:rFonts w:ascii="Calibri" w:hAnsi="Calibri"/>
        </w:rPr>
        <w:t xml:space="preserve"> (WIA) after more than a decade.  The new law, which was a bipartisan, bicameral effort to support innovative strategies to keep pace with changing economic conditions, seeks to improve coordination between the primary federal programs that support employment services, workforce development, adult education and vocational rehabilitation activities.</w:t>
      </w:r>
    </w:p>
    <w:p w:rsidR="00596867" w:rsidRPr="00F57D00" w:rsidRDefault="00596867" w:rsidP="00F57D00">
      <w:pPr>
        <w:pStyle w:val="Heading2"/>
        <w:spacing w:before="120" w:after="120"/>
        <w:rPr>
          <w:color w:val="632423" w:themeColor="accent2" w:themeShade="80"/>
        </w:rPr>
      </w:pPr>
      <w:r w:rsidRPr="00F57D00">
        <w:rPr>
          <w:color w:val="632423" w:themeColor="accent2" w:themeShade="80"/>
        </w:rPr>
        <w:t>Key Principles</w:t>
      </w:r>
    </w:p>
    <w:p w:rsidR="00596867" w:rsidRDefault="00596867" w:rsidP="00F20BF6">
      <w:pPr>
        <w:rPr>
          <w:rFonts w:ascii="Calibri" w:hAnsi="Calibri"/>
        </w:rPr>
      </w:pPr>
      <w:r w:rsidRPr="00596867">
        <w:rPr>
          <w:rFonts w:ascii="Calibri" w:hAnsi="Calibri"/>
          <w:noProof/>
        </w:rPr>
        <w:drawing>
          <wp:inline distT="0" distB="0" distL="0" distR="0" wp14:anchorId="143C04A4" wp14:editId="5D8AB7C1">
            <wp:extent cx="5943600" cy="3425190"/>
            <wp:effectExtent l="76200" t="38100" r="95250" b="1181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E3D53" w:rsidRPr="00F57D00" w:rsidRDefault="003E3D53" w:rsidP="00F57D00">
      <w:pPr>
        <w:pStyle w:val="Heading2"/>
        <w:spacing w:before="120" w:after="120"/>
        <w:rPr>
          <w:color w:val="632423" w:themeColor="accent2" w:themeShade="80"/>
        </w:rPr>
      </w:pPr>
      <w:r w:rsidRPr="00F57D00">
        <w:rPr>
          <w:color w:val="632423" w:themeColor="accent2" w:themeShade="80"/>
        </w:rPr>
        <w:t>Structure of WIOA</w:t>
      </w:r>
    </w:p>
    <w:tbl>
      <w:tblPr>
        <w:tblStyle w:val="TableGrid"/>
        <w:tblW w:w="0" w:type="auto"/>
        <w:tblLook w:val="04A0" w:firstRow="1" w:lastRow="0" w:firstColumn="1" w:lastColumn="0" w:noHBand="0" w:noVBand="1"/>
      </w:tblPr>
      <w:tblGrid>
        <w:gridCol w:w="1458"/>
        <w:gridCol w:w="3420"/>
        <w:gridCol w:w="2520"/>
        <w:gridCol w:w="2178"/>
      </w:tblGrid>
      <w:tr w:rsidR="00F57D00" w:rsidRPr="005F1105" w:rsidTr="00191596">
        <w:tc>
          <w:tcPr>
            <w:tcW w:w="1458" w:type="dxa"/>
            <w:shd w:val="clear" w:color="auto" w:fill="1F497D" w:themeFill="text2"/>
          </w:tcPr>
          <w:p w:rsidR="00F57D00" w:rsidRPr="005F1105" w:rsidRDefault="00F57D00" w:rsidP="00191596">
            <w:pPr>
              <w:rPr>
                <w:rFonts w:cs="Arial"/>
                <w:b/>
                <w:color w:val="FFFFFF" w:themeColor="background1"/>
                <w:sz w:val="24"/>
              </w:rPr>
            </w:pPr>
            <w:r w:rsidRPr="005F1105">
              <w:rPr>
                <w:rFonts w:cs="Arial"/>
                <w:b/>
                <w:color w:val="FFFFFF" w:themeColor="background1"/>
                <w:sz w:val="24"/>
              </w:rPr>
              <w:t>Law Title (Section)</w:t>
            </w:r>
          </w:p>
        </w:tc>
        <w:tc>
          <w:tcPr>
            <w:tcW w:w="3420" w:type="dxa"/>
            <w:shd w:val="clear" w:color="auto" w:fill="1F497D" w:themeFill="text2"/>
          </w:tcPr>
          <w:p w:rsidR="00F57D00" w:rsidRPr="005F1105" w:rsidRDefault="00F57D00" w:rsidP="00191596">
            <w:pPr>
              <w:rPr>
                <w:rFonts w:cs="Arial"/>
                <w:b/>
                <w:color w:val="FFFFFF" w:themeColor="background1"/>
                <w:sz w:val="24"/>
              </w:rPr>
            </w:pPr>
            <w:r w:rsidRPr="005F1105">
              <w:rPr>
                <w:rFonts w:cs="Arial"/>
                <w:b/>
                <w:color w:val="FFFFFF" w:themeColor="background1"/>
                <w:sz w:val="24"/>
              </w:rPr>
              <w:t>Name</w:t>
            </w:r>
          </w:p>
        </w:tc>
        <w:tc>
          <w:tcPr>
            <w:tcW w:w="2520" w:type="dxa"/>
            <w:shd w:val="clear" w:color="auto" w:fill="1F497D" w:themeFill="text2"/>
          </w:tcPr>
          <w:p w:rsidR="00F57D00" w:rsidRPr="005F1105" w:rsidRDefault="00F57D00" w:rsidP="00191596">
            <w:pPr>
              <w:rPr>
                <w:rFonts w:cs="Arial"/>
                <w:b/>
                <w:color w:val="FFFFFF" w:themeColor="background1"/>
                <w:sz w:val="24"/>
              </w:rPr>
            </w:pPr>
            <w:r>
              <w:rPr>
                <w:rFonts w:cs="Arial"/>
                <w:b/>
                <w:color w:val="FFFFFF" w:themeColor="background1"/>
                <w:sz w:val="24"/>
              </w:rPr>
              <w:t xml:space="preserve">Core </w:t>
            </w:r>
            <w:r w:rsidRPr="005F1105">
              <w:rPr>
                <w:rFonts w:cs="Arial"/>
                <w:b/>
                <w:color w:val="FFFFFF" w:themeColor="background1"/>
                <w:sz w:val="24"/>
              </w:rPr>
              <w:t>Program/Activities</w:t>
            </w:r>
          </w:p>
        </w:tc>
        <w:tc>
          <w:tcPr>
            <w:tcW w:w="2178" w:type="dxa"/>
            <w:shd w:val="clear" w:color="auto" w:fill="1F497D" w:themeFill="text2"/>
          </w:tcPr>
          <w:p w:rsidR="00F57D00" w:rsidRPr="005F1105" w:rsidRDefault="00F57D00" w:rsidP="00191596">
            <w:pPr>
              <w:rPr>
                <w:rFonts w:cs="Arial"/>
                <w:b/>
                <w:color w:val="FFFFFF" w:themeColor="background1"/>
                <w:sz w:val="24"/>
              </w:rPr>
            </w:pPr>
            <w:r w:rsidRPr="005F1105">
              <w:rPr>
                <w:rFonts w:cs="Arial"/>
                <w:b/>
                <w:color w:val="FFFFFF" w:themeColor="background1"/>
                <w:sz w:val="24"/>
              </w:rPr>
              <w:t>Who oversees in Minnesota</w:t>
            </w:r>
          </w:p>
        </w:tc>
      </w:tr>
      <w:tr w:rsidR="00F57D00" w:rsidRPr="00F57D00" w:rsidTr="00191596">
        <w:tc>
          <w:tcPr>
            <w:tcW w:w="1458" w:type="dxa"/>
          </w:tcPr>
          <w:p w:rsidR="00F57D00" w:rsidRPr="00F57D00" w:rsidRDefault="00F57D00" w:rsidP="00191596">
            <w:pPr>
              <w:rPr>
                <w:rFonts w:cs="Arial"/>
              </w:rPr>
            </w:pPr>
            <w:r w:rsidRPr="00F57D00">
              <w:rPr>
                <w:rFonts w:cs="Arial"/>
              </w:rPr>
              <w:t>Title I (Subtitle A)</w:t>
            </w:r>
          </w:p>
        </w:tc>
        <w:tc>
          <w:tcPr>
            <w:tcW w:w="3420" w:type="dxa"/>
          </w:tcPr>
          <w:p w:rsidR="00F57D00" w:rsidRPr="00F57D00" w:rsidRDefault="00F57D00" w:rsidP="00191596">
            <w:pPr>
              <w:rPr>
                <w:rFonts w:cs="Arial"/>
              </w:rPr>
            </w:pPr>
            <w:r w:rsidRPr="00F57D00">
              <w:rPr>
                <w:rFonts w:cs="Arial"/>
              </w:rPr>
              <w:t>Workforce Development Activities (System Alignment)</w:t>
            </w:r>
          </w:p>
        </w:tc>
        <w:tc>
          <w:tcPr>
            <w:tcW w:w="2520" w:type="dxa"/>
          </w:tcPr>
          <w:p w:rsidR="00F57D00" w:rsidRPr="00F57D00" w:rsidRDefault="00F57D00" w:rsidP="00191596">
            <w:pPr>
              <w:rPr>
                <w:rFonts w:cs="Arial"/>
              </w:rPr>
            </w:pPr>
            <w:r w:rsidRPr="00F57D00">
              <w:rPr>
                <w:rFonts w:cs="Arial"/>
              </w:rPr>
              <w:t>All WIOA Programs</w:t>
            </w:r>
          </w:p>
        </w:tc>
        <w:tc>
          <w:tcPr>
            <w:tcW w:w="2178" w:type="dxa"/>
          </w:tcPr>
          <w:p w:rsidR="00F57D00" w:rsidRPr="00F57D00" w:rsidRDefault="00F57D00" w:rsidP="00191596">
            <w:pPr>
              <w:rPr>
                <w:rFonts w:cs="Arial"/>
              </w:rPr>
            </w:pPr>
            <w:r w:rsidRPr="00F57D00">
              <w:rPr>
                <w:rFonts w:cs="Arial"/>
              </w:rPr>
              <w:t>DEED and MDE</w:t>
            </w:r>
          </w:p>
        </w:tc>
      </w:tr>
      <w:tr w:rsidR="00F57D00" w:rsidRPr="00F57D00" w:rsidTr="00191596">
        <w:tc>
          <w:tcPr>
            <w:tcW w:w="1458" w:type="dxa"/>
          </w:tcPr>
          <w:p w:rsidR="00F57D00" w:rsidRPr="00F57D00" w:rsidRDefault="00F57D00" w:rsidP="00191596">
            <w:pPr>
              <w:rPr>
                <w:rFonts w:cs="Arial"/>
              </w:rPr>
            </w:pPr>
            <w:r w:rsidRPr="00F57D00">
              <w:rPr>
                <w:rFonts w:cs="Arial"/>
              </w:rPr>
              <w:t>Title I (Subtitle B)</w:t>
            </w:r>
          </w:p>
        </w:tc>
        <w:tc>
          <w:tcPr>
            <w:tcW w:w="3420" w:type="dxa"/>
          </w:tcPr>
          <w:p w:rsidR="00F57D00" w:rsidRPr="00F57D00" w:rsidRDefault="00F57D00" w:rsidP="00191596">
            <w:pPr>
              <w:rPr>
                <w:rFonts w:cs="Arial"/>
              </w:rPr>
            </w:pPr>
            <w:r w:rsidRPr="00F57D00">
              <w:rPr>
                <w:rFonts w:cs="Arial"/>
              </w:rPr>
              <w:t>Workforce Development Activities (Workforce Activities and Providers)</w:t>
            </w:r>
          </w:p>
        </w:tc>
        <w:tc>
          <w:tcPr>
            <w:tcW w:w="2520" w:type="dxa"/>
          </w:tcPr>
          <w:p w:rsidR="00F57D00" w:rsidRPr="00F57D00" w:rsidRDefault="00FD76C1" w:rsidP="00FD76C1">
            <w:pPr>
              <w:rPr>
                <w:rFonts w:cs="Arial"/>
              </w:rPr>
            </w:pPr>
            <w:r>
              <w:rPr>
                <w:rFonts w:cs="Arial"/>
              </w:rPr>
              <w:t>Adult, Youth, and Dislocated Worker Programs</w:t>
            </w:r>
          </w:p>
        </w:tc>
        <w:tc>
          <w:tcPr>
            <w:tcW w:w="2178" w:type="dxa"/>
          </w:tcPr>
          <w:p w:rsidR="00F57D00" w:rsidRPr="00F57D00" w:rsidRDefault="00F57D00" w:rsidP="00191596">
            <w:pPr>
              <w:rPr>
                <w:rFonts w:cs="Arial"/>
              </w:rPr>
            </w:pPr>
            <w:r w:rsidRPr="00F57D00">
              <w:rPr>
                <w:rFonts w:cs="Arial"/>
              </w:rPr>
              <w:t>DEED</w:t>
            </w:r>
          </w:p>
        </w:tc>
      </w:tr>
      <w:tr w:rsidR="00F57D00" w:rsidRPr="00F57D00" w:rsidTr="00191596">
        <w:tc>
          <w:tcPr>
            <w:tcW w:w="1458" w:type="dxa"/>
          </w:tcPr>
          <w:p w:rsidR="00F57D00" w:rsidRPr="00F57D00" w:rsidRDefault="00F57D00" w:rsidP="00191596">
            <w:pPr>
              <w:rPr>
                <w:rFonts w:cs="Arial"/>
              </w:rPr>
            </w:pPr>
            <w:r w:rsidRPr="00F57D00">
              <w:rPr>
                <w:rFonts w:cs="Arial"/>
              </w:rPr>
              <w:t>Title II</w:t>
            </w:r>
          </w:p>
        </w:tc>
        <w:tc>
          <w:tcPr>
            <w:tcW w:w="3420" w:type="dxa"/>
          </w:tcPr>
          <w:p w:rsidR="00F57D00" w:rsidRPr="00F57D00" w:rsidRDefault="00F57D00" w:rsidP="00191596">
            <w:pPr>
              <w:rPr>
                <w:rFonts w:cs="Arial"/>
              </w:rPr>
            </w:pPr>
            <w:r w:rsidRPr="00F57D00">
              <w:rPr>
                <w:rFonts w:cs="Arial"/>
              </w:rPr>
              <w:t>Adult Education and Family Literacy Act</w:t>
            </w:r>
          </w:p>
        </w:tc>
        <w:tc>
          <w:tcPr>
            <w:tcW w:w="2520" w:type="dxa"/>
          </w:tcPr>
          <w:p w:rsidR="00F57D00" w:rsidRPr="00F57D00" w:rsidRDefault="00F57D00" w:rsidP="00191596">
            <w:pPr>
              <w:rPr>
                <w:rFonts w:cs="Arial"/>
              </w:rPr>
            </w:pPr>
            <w:r w:rsidRPr="00F57D00">
              <w:rPr>
                <w:rFonts w:cs="Arial"/>
              </w:rPr>
              <w:t>Adult Basic Education</w:t>
            </w:r>
          </w:p>
        </w:tc>
        <w:tc>
          <w:tcPr>
            <w:tcW w:w="2178" w:type="dxa"/>
          </w:tcPr>
          <w:p w:rsidR="00F57D00" w:rsidRPr="00F57D00" w:rsidRDefault="00F57D00" w:rsidP="00191596">
            <w:pPr>
              <w:rPr>
                <w:rFonts w:cs="Arial"/>
              </w:rPr>
            </w:pPr>
            <w:r w:rsidRPr="00F57D00">
              <w:rPr>
                <w:rFonts w:cs="Arial"/>
              </w:rPr>
              <w:t>MDE</w:t>
            </w:r>
          </w:p>
        </w:tc>
      </w:tr>
      <w:tr w:rsidR="00F57D00" w:rsidRPr="00F57D00" w:rsidTr="00191596">
        <w:tc>
          <w:tcPr>
            <w:tcW w:w="1458" w:type="dxa"/>
          </w:tcPr>
          <w:p w:rsidR="00F57D00" w:rsidRPr="00F57D00" w:rsidRDefault="00F57D00" w:rsidP="00191596">
            <w:pPr>
              <w:rPr>
                <w:rFonts w:cs="Arial"/>
              </w:rPr>
            </w:pPr>
            <w:r w:rsidRPr="00F57D00">
              <w:rPr>
                <w:rFonts w:cs="Arial"/>
              </w:rPr>
              <w:t>Title III</w:t>
            </w:r>
          </w:p>
        </w:tc>
        <w:tc>
          <w:tcPr>
            <w:tcW w:w="3420" w:type="dxa"/>
          </w:tcPr>
          <w:p w:rsidR="00F57D00" w:rsidRPr="00F57D00" w:rsidRDefault="00F57D00" w:rsidP="00191596">
            <w:pPr>
              <w:rPr>
                <w:rFonts w:cs="Arial"/>
              </w:rPr>
            </w:pPr>
            <w:r w:rsidRPr="00F57D00">
              <w:rPr>
                <w:rFonts w:cs="Arial"/>
              </w:rPr>
              <w:t>Wagner-</w:t>
            </w:r>
            <w:proofErr w:type="spellStart"/>
            <w:r w:rsidRPr="00F57D00">
              <w:rPr>
                <w:rFonts w:cs="Arial"/>
              </w:rPr>
              <w:t>Peysar</w:t>
            </w:r>
            <w:proofErr w:type="spellEnd"/>
            <w:r w:rsidRPr="00F57D00">
              <w:rPr>
                <w:rFonts w:cs="Arial"/>
              </w:rPr>
              <w:t xml:space="preserve"> Act</w:t>
            </w:r>
          </w:p>
        </w:tc>
        <w:tc>
          <w:tcPr>
            <w:tcW w:w="2520" w:type="dxa"/>
          </w:tcPr>
          <w:p w:rsidR="00F57D00" w:rsidRPr="00F57D00" w:rsidRDefault="00F57D00" w:rsidP="00191596">
            <w:pPr>
              <w:rPr>
                <w:rFonts w:cs="Arial"/>
              </w:rPr>
            </w:pPr>
            <w:r w:rsidRPr="00F57D00">
              <w:rPr>
                <w:rFonts w:cs="Arial"/>
              </w:rPr>
              <w:t>Workforce Centers (One-Stops)</w:t>
            </w:r>
          </w:p>
        </w:tc>
        <w:tc>
          <w:tcPr>
            <w:tcW w:w="2178" w:type="dxa"/>
          </w:tcPr>
          <w:p w:rsidR="00F57D00" w:rsidRPr="00F57D00" w:rsidRDefault="00F57D00" w:rsidP="00191596">
            <w:pPr>
              <w:rPr>
                <w:rFonts w:cs="Arial"/>
              </w:rPr>
            </w:pPr>
            <w:r w:rsidRPr="00F57D00">
              <w:rPr>
                <w:rFonts w:cs="Arial"/>
              </w:rPr>
              <w:t>DEED</w:t>
            </w:r>
          </w:p>
        </w:tc>
      </w:tr>
      <w:tr w:rsidR="00F57D00" w:rsidRPr="00F57D00" w:rsidTr="00191596">
        <w:tc>
          <w:tcPr>
            <w:tcW w:w="1458" w:type="dxa"/>
          </w:tcPr>
          <w:p w:rsidR="00F57D00" w:rsidRPr="00F57D00" w:rsidRDefault="00F57D00" w:rsidP="00191596">
            <w:pPr>
              <w:rPr>
                <w:rFonts w:cs="Arial"/>
              </w:rPr>
            </w:pPr>
            <w:r w:rsidRPr="00F57D00">
              <w:rPr>
                <w:rFonts w:cs="Arial"/>
              </w:rPr>
              <w:t>Title IV</w:t>
            </w:r>
          </w:p>
        </w:tc>
        <w:tc>
          <w:tcPr>
            <w:tcW w:w="3420" w:type="dxa"/>
          </w:tcPr>
          <w:p w:rsidR="00F57D00" w:rsidRPr="00F57D00" w:rsidRDefault="00F57D00" w:rsidP="00191596">
            <w:pPr>
              <w:rPr>
                <w:rFonts w:cs="Arial"/>
              </w:rPr>
            </w:pPr>
            <w:r w:rsidRPr="00F57D00">
              <w:rPr>
                <w:rFonts w:cs="Arial"/>
              </w:rPr>
              <w:t>Rehabilitation Act</w:t>
            </w:r>
          </w:p>
        </w:tc>
        <w:tc>
          <w:tcPr>
            <w:tcW w:w="2520" w:type="dxa"/>
          </w:tcPr>
          <w:p w:rsidR="00F57D00" w:rsidRPr="00F57D00" w:rsidRDefault="00F57D00" w:rsidP="00191596">
            <w:pPr>
              <w:rPr>
                <w:rFonts w:cs="Arial"/>
              </w:rPr>
            </w:pPr>
            <w:r w:rsidRPr="00F57D00">
              <w:rPr>
                <w:rFonts w:cs="Arial"/>
              </w:rPr>
              <w:t>Vocational Rehabilitation (VR)</w:t>
            </w:r>
          </w:p>
        </w:tc>
        <w:tc>
          <w:tcPr>
            <w:tcW w:w="2178" w:type="dxa"/>
          </w:tcPr>
          <w:p w:rsidR="00F57D00" w:rsidRPr="00F57D00" w:rsidRDefault="00F57D00" w:rsidP="00191596">
            <w:pPr>
              <w:rPr>
                <w:rFonts w:cs="Arial"/>
              </w:rPr>
            </w:pPr>
            <w:r w:rsidRPr="00F57D00">
              <w:rPr>
                <w:rFonts w:cs="Arial"/>
              </w:rPr>
              <w:t>DEED</w:t>
            </w:r>
          </w:p>
        </w:tc>
      </w:tr>
      <w:tr w:rsidR="00F57D00" w:rsidRPr="00F57D00" w:rsidTr="00191596">
        <w:tc>
          <w:tcPr>
            <w:tcW w:w="1458" w:type="dxa"/>
          </w:tcPr>
          <w:p w:rsidR="00F57D00" w:rsidRPr="00F57D00" w:rsidRDefault="00F57D00" w:rsidP="00191596">
            <w:pPr>
              <w:rPr>
                <w:rFonts w:cs="Arial"/>
              </w:rPr>
            </w:pPr>
            <w:r w:rsidRPr="00F57D00">
              <w:rPr>
                <w:rFonts w:cs="Arial"/>
              </w:rPr>
              <w:t>Title V</w:t>
            </w:r>
          </w:p>
        </w:tc>
        <w:tc>
          <w:tcPr>
            <w:tcW w:w="3420" w:type="dxa"/>
          </w:tcPr>
          <w:p w:rsidR="00F57D00" w:rsidRPr="00F57D00" w:rsidRDefault="00F57D00" w:rsidP="00191596">
            <w:pPr>
              <w:rPr>
                <w:rFonts w:cs="Arial"/>
              </w:rPr>
            </w:pPr>
            <w:r w:rsidRPr="00F57D00">
              <w:rPr>
                <w:rFonts w:cs="Arial"/>
              </w:rPr>
              <w:t>General Provisions</w:t>
            </w:r>
          </w:p>
        </w:tc>
        <w:tc>
          <w:tcPr>
            <w:tcW w:w="2520" w:type="dxa"/>
          </w:tcPr>
          <w:p w:rsidR="00F57D00" w:rsidRPr="00F57D00" w:rsidRDefault="00F57D00" w:rsidP="00191596">
            <w:pPr>
              <w:rPr>
                <w:rFonts w:cs="Arial"/>
              </w:rPr>
            </w:pPr>
            <w:r w:rsidRPr="00F57D00">
              <w:rPr>
                <w:rFonts w:cs="Arial"/>
              </w:rPr>
              <w:t>All WIOA Programs</w:t>
            </w:r>
          </w:p>
        </w:tc>
        <w:tc>
          <w:tcPr>
            <w:tcW w:w="2178" w:type="dxa"/>
          </w:tcPr>
          <w:p w:rsidR="00F57D00" w:rsidRPr="00F57D00" w:rsidRDefault="00F57D00" w:rsidP="00191596">
            <w:pPr>
              <w:rPr>
                <w:rFonts w:cs="Arial"/>
              </w:rPr>
            </w:pPr>
            <w:r w:rsidRPr="00F57D00">
              <w:rPr>
                <w:rFonts w:cs="Arial"/>
              </w:rPr>
              <w:t>DEED and MDE</w:t>
            </w:r>
          </w:p>
        </w:tc>
      </w:tr>
    </w:tbl>
    <w:p w:rsidR="00F20BF6" w:rsidRPr="000C3ED3" w:rsidRDefault="00F20BF6" w:rsidP="00F20BF6">
      <w:pPr>
        <w:spacing w:before="240" w:after="240"/>
        <w:rPr>
          <w:rFonts w:ascii="Calibri" w:hAnsi="Calibri"/>
        </w:rPr>
      </w:pPr>
      <w:r w:rsidRPr="000C3ED3">
        <w:rPr>
          <w:rFonts w:ascii="Calibri" w:hAnsi="Calibri"/>
        </w:rPr>
        <w:lastRenderedPageBreak/>
        <w:t>The new law encourages alignment between the four core programs within the law.  The core programs consist of: (1) the Adult, Dislocated Worker and Youth formula programs administered by the Department of Labor (DOL) under Title I; (2) the Adult Education and Literacy program administered by the Department of Education (ED) under Title II; (3) the Wagner-</w:t>
      </w:r>
      <w:proofErr w:type="spellStart"/>
      <w:r w:rsidRPr="000C3ED3">
        <w:rPr>
          <w:rFonts w:ascii="Calibri" w:hAnsi="Calibri"/>
        </w:rPr>
        <w:t>Peyser</w:t>
      </w:r>
      <w:proofErr w:type="spellEnd"/>
      <w:r w:rsidRPr="000C3ED3">
        <w:rPr>
          <w:rFonts w:ascii="Calibri" w:hAnsi="Calibri"/>
        </w:rPr>
        <w:t xml:space="preserve"> Act employment services program administered by DOL under Title III; and (4) the programs under Title I of the Vocational Rehabilitation Act administered by ED under Title IV. </w:t>
      </w:r>
    </w:p>
    <w:p w:rsidR="00F20BF6" w:rsidRPr="000C3ED3" w:rsidRDefault="00F20BF6" w:rsidP="00F20BF6">
      <w:pPr>
        <w:rPr>
          <w:rFonts w:ascii="Calibri" w:hAnsi="Calibri"/>
        </w:rPr>
      </w:pPr>
      <w:r w:rsidRPr="000C3ED3">
        <w:rPr>
          <w:rFonts w:ascii="Calibri" w:hAnsi="Calibri"/>
        </w:rPr>
        <w:t xml:space="preserve">The following highlights significant changes related to the Adult Education and Family Literacy Act (AEFLA) of Title II, which provides foundation skills and English literacy instruction to nearly 1.8 </w:t>
      </w:r>
      <w:r>
        <w:rPr>
          <w:rFonts w:ascii="Calibri" w:hAnsi="Calibri"/>
        </w:rPr>
        <w:t xml:space="preserve">million individuals each year. </w:t>
      </w:r>
    </w:p>
    <w:p w:rsidR="00F20BF6" w:rsidRPr="00F57D00" w:rsidRDefault="00F20BF6" w:rsidP="00F20BF6">
      <w:pPr>
        <w:pStyle w:val="Heading2"/>
        <w:rPr>
          <w:color w:val="632423" w:themeColor="accent2" w:themeShade="80"/>
        </w:rPr>
      </w:pPr>
      <w:r w:rsidRPr="00F57D00">
        <w:rPr>
          <w:color w:val="632423" w:themeColor="accent2" w:themeShade="80"/>
        </w:rPr>
        <w:t>HIGHLIGHTS OF WIOA REFORMS FOR ADULT EDUCATION</w:t>
      </w:r>
    </w:p>
    <w:p w:rsidR="00F20BF6" w:rsidRPr="000C3ED3" w:rsidRDefault="00F20BF6" w:rsidP="00F20BF6">
      <w:pPr>
        <w:rPr>
          <w:rFonts w:ascii="Calibri" w:hAnsi="Calibri"/>
          <w:i/>
        </w:rPr>
      </w:pPr>
      <w:r w:rsidRPr="000C3ED3">
        <w:rPr>
          <w:rFonts w:ascii="Calibri" w:hAnsi="Calibri"/>
          <w:b/>
          <w:i/>
        </w:rPr>
        <w:t xml:space="preserve">Increases coordination of core programs through submission of a Unified State Plan or Combined State Plan:  </w:t>
      </w:r>
      <w:r w:rsidRPr="000C3ED3">
        <w:rPr>
          <w:rFonts w:ascii="Calibri" w:hAnsi="Calibri"/>
          <w:i/>
        </w:rPr>
        <w:t xml:space="preserve">The WIOA requires States to prepare a single plan for the core programs that includes the strategic vision and goals of the State and the operational elements that support the four-year strategy.  </w:t>
      </w:r>
    </w:p>
    <w:p w:rsidR="00F20BF6" w:rsidRPr="000C3ED3" w:rsidRDefault="00F20BF6" w:rsidP="00F20BF6">
      <w:pPr>
        <w:numPr>
          <w:ilvl w:val="0"/>
          <w:numId w:val="11"/>
        </w:numPr>
        <w:spacing w:before="0" w:after="0" w:line="240" w:lineRule="auto"/>
        <w:contextualSpacing/>
        <w:rPr>
          <w:rFonts w:ascii="Calibri" w:hAnsi="Calibri"/>
          <w:b/>
        </w:rPr>
      </w:pPr>
      <w:r w:rsidRPr="000C3ED3">
        <w:rPr>
          <w:rFonts w:ascii="Calibri" w:hAnsi="Calibri"/>
        </w:rPr>
        <w:t>The plan includes AEFLA-specific elements, including how the State intends to: align content standards for adult education with state-adopted academic standards; fund local activities using the considerations for grants and contracts, programs for corrections education, English literacy and civics education, and integrated education and training; use funds to carry out State leadership activities; and assess the quality of adult education providers.</w:t>
      </w:r>
    </w:p>
    <w:p w:rsidR="00F20BF6" w:rsidRPr="000C3ED3" w:rsidRDefault="00F20BF6" w:rsidP="00F20BF6">
      <w:pPr>
        <w:numPr>
          <w:ilvl w:val="0"/>
          <w:numId w:val="11"/>
        </w:numPr>
        <w:spacing w:before="0" w:after="0" w:line="240" w:lineRule="auto"/>
        <w:contextualSpacing/>
        <w:rPr>
          <w:rFonts w:ascii="Calibri" w:hAnsi="Calibri"/>
        </w:rPr>
      </w:pPr>
      <w:r w:rsidRPr="000C3ED3">
        <w:rPr>
          <w:rFonts w:ascii="Calibri" w:hAnsi="Calibri"/>
        </w:rPr>
        <w:t>States may also submit a Combined State Plan that would include other Federal programs, such as the Perkins Career and Technical Education programs.</w:t>
      </w:r>
    </w:p>
    <w:p w:rsidR="00F20BF6" w:rsidRPr="000C3ED3" w:rsidRDefault="00F20BF6" w:rsidP="00F20BF6">
      <w:pPr>
        <w:numPr>
          <w:ilvl w:val="0"/>
          <w:numId w:val="11"/>
        </w:numPr>
        <w:spacing w:before="0" w:after="0" w:line="240" w:lineRule="auto"/>
        <w:contextualSpacing/>
        <w:rPr>
          <w:rFonts w:ascii="Calibri" w:hAnsi="Calibri"/>
        </w:rPr>
      </w:pPr>
      <w:r w:rsidRPr="000C3ED3">
        <w:rPr>
          <w:rFonts w:ascii="Calibri" w:hAnsi="Calibri"/>
        </w:rPr>
        <w:t>States will be required to submit unified plans under the new law by March 2016.</w:t>
      </w:r>
    </w:p>
    <w:p w:rsidR="00F20BF6" w:rsidRPr="000C3ED3" w:rsidRDefault="00F20BF6" w:rsidP="00F20BF6">
      <w:pPr>
        <w:rPr>
          <w:rFonts w:ascii="Calibri" w:hAnsi="Calibri"/>
        </w:rPr>
      </w:pPr>
    </w:p>
    <w:p w:rsidR="00F20BF6" w:rsidRPr="000C3ED3" w:rsidRDefault="00F20BF6" w:rsidP="00F20BF6">
      <w:pPr>
        <w:rPr>
          <w:rFonts w:ascii="Calibri" w:hAnsi="Calibri"/>
          <w:i/>
        </w:rPr>
      </w:pPr>
      <w:proofErr w:type="gramStart"/>
      <w:r w:rsidRPr="000C3ED3">
        <w:rPr>
          <w:rFonts w:ascii="Calibri" w:hAnsi="Calibri"/>
          <w:b/>
          <w:i/>
        </w:rPr>
        <w:t>Establishes Common Performance Measures across Core Programs:</w:t>
      </w:r>
      <w:r w:rsidRPr="000C3ED3">
        <w:rPr>
          <w:rFonts w:ascii="Calibri" w:hAnsi="Calibri"/>
          <w:b/>
        </w:rPr>
        <w:t xml:space="preserve">  </w:t>
      </w:r>
      <w:r w:rsidRPr="000C3ED3">
        <w:rPr>
          <w:rFonts w:ascii="Calibri" w:hAnsi="Calibri"/>
          <w:i/>
        </w:rPr>
        <w:t>The WIOA includes six primary indicators of performance that will be negotiated with each State by the Secretaries of Education and Labor as part of the State plan.</w:t>
      </w:r>
      <w:proofErr w:type="gramEnd"/>
    </w:p>
    <w:p w:rsidR="00F20BF6" w:rsidRDefault="00F20BF6" w:rsidP="00F20BF6">
      <w:pPr>
        <w:numPr>
          <w:ilvl w:val="0"/>
          <w:numId w:val="19"/>
        </w:numPr>
        <w:spacing w:before="0" w:after="0" w:line="240" w:lineRule="auto"/>
        <w:contextualSpacing/>
        <w:rPr>
          <w:rFonts w:ascii="Calibri" w:hAnsi="Calibri"/>
        </w:rPr>
      </w:pPr>
      <w:r w:rsidRPr="000C3ED3">
        <w:rPr>
          <w:rFonts w:ascii="Calibri" w:hAnsi="Calibri"/>
        </w:rPr>
        <w:t>Performance measures include</w:t>
      </w:r>
      <w:r>
        <w:rPr>
          <w:rFonts w:ascii="Calibri" w:hAnsi="Calibri"/>
        </w:rPr>
        <w:t>:</w:t>
      </w:r>
      <w:r w:rsidRPr="000C3ED3">
        <w:rPr>
          <w:rFonts w:ascii="Calibri" w:hAnsi="Calibri"/>
        </w:rPr>
        <w:t xml:space="preserve"> </w:t>
      </w:r>
    </w:p>
    <w:p w:rsidR="00F20BF6" w:rsidRDefault="00F20BF6" w:rsidP="00F20BF6">
      <w:pPr>
        <w:numPr>
          <w:ilvl w:val="1"/>
          <w:numId w:val="19"/>
        </w:numPr>
        <w:spacing w:before="0" w:after="0" w:line="240" w:lineRule="auto"/>
        <w:contextualSpacing/>
        <w:rPr>
          <w:rFonts w:ascii="Calibri" w:hAnsi="Calibri"/>
        </w:rPr>
      </w:pPr>
      <w:r w:rsidRPr="000C3ED3">
        <w:rPr>
          <w:rFonts w:ascii="Calibri" w:hAnsi="Calibri"/>
        </w:rPr>
        <w:t xml:space="preserve">percentage of program participants in unsubsidized employment during the second and fourth quarter after exit; </w:t>
      </w:r>
    </w:p>
    <w:p w:rsidR="00F20BF6" w:rsidRDefault="00F20BF6" w:rsidP="00F20BF6">
      <w:pPr>
        <w:numPr>
          <w:ilvl w:val="1"/>
          <w:numId w:val="19"/>
        </w:numPr>
        <w:spacing w:before="0" w:after="0" w:line="240" w:lineRule="auto"/>
        <w:contextualSpacing/>
        <w:rPr>
          <w:rFonts w:ascii="Calibri" w:hAnsi="Calibri"/>
        </w:rPr>
      </w:pPr>
      <w:r w:rsidRPr="000C3ED3">
        <w:rPr>
          <w:rFonts w:ascii="Calibri" w:hAnsi="Calibri"/>
        </w:rPr>
        <w:t xml:space="preserve">median earnings; </w:t>
      </w:r>
    </w:p>
    <w:p w:rsidR="00F20BF6" w:rsidRDefault="00F20BF6" w:rsidP="00F20BF6">
      <w:pPr>
        <w:numPr>
          <w:ilvl w:val="1"/>
          <w:numId w:val="19"/>
        </w:numPr>
        <w:spacing w:before="0" w:after="0" w:line="240" w:lineRule="auto"/>
        <w:contextualSpacing/>
        <w:rPr>
          <w:rFonts w:ascii="Calibri" w:hAnsi="Calibri"/>
        </w:rPr>
      </w:pPr>
      <w:r w:rsidRPr="000C3ED3">
        <w:rPr>
          <w:rFonts w:ascii="Calibri" w:hAnsi="Calibri"/>
        </w:rPr>
        <w:t xml:space="preserve">percentage of participants who obtain a postsecondary credential or diploma during participation or within one year after exit; </w:t>
      </w:r>
    </w:p>
    <w:p w:rsidR="00F20BF6" w:rsidRDefault="00F20BF6" w:rsidP="00F20BF6">
      <w:pPr>
        <w:numPr>
          <w:ilvl w:val="1"/>
          <w:numId w:val="19"/>
        </w:numPr>
        <w:spacing w:before="0" w:after="0" w:line="240" w:lineRule="auto"/>
        <w:contextualSpacing/>
        <w:rPr>
          <w:rFonts w:ascii="Calibri" w:hAnsi="Calibri"/>
        </w:rPr>
      </w:pPr>
      <w:r w:rsidRPr="000C3ED3">
        <w:rPr>
          <w:rFonts w:ascii="Calibri" w:hAnsi="Calibri"/>
        </w:rPr>
        <w:t xml:space="preserve">participants achieving measurable skill gains; and </w:t>
      </w:r>
    </w:p>
    <w:p w:rsidR="00F20BF6" w:rsidRPr="000C3ED3" w:rsidRDefault="00F20BF6" w:rsidP="00F20BF6">
      <w:pPr>
        <w:numPr>
          <w:ilvl w:val="1"/>
          <w:numId w:val="19"/>
        </w:numPr>
        <w:spacing w:before="0" w:after="0" w:line="240" w:lineRule="auto"/>
        <w:contextualSpacing/>
        <w:rPr>
          <w:rFonts w:ascii="Calibri" w:hAnsi="Calibri"/>
        </w:rPr>
      </w:pPr>
      <w:proofErr w:type="gramStart"/>
      <w:r w:rsidRPr="000C3ED3">
        <w:rPr>
          <w:rFonts w:ascii="Calibri" w:hAnsi="Calibri"/>
        </w:rPr>
        <w:t>effectiveness</w:t>
      </w:r>
      <w:proofErr w:type="gramEnd"/>
      <w:r w:rsidRPr="000C3ED3">
        <w:rPr>
          <w:rFonts w:ascii="Calibri" w:hAnsi="Calibri"/>
        </w:rPr>
        <w:t xml:space="preserve"> in serving employers.</w:t>
      </w:r>
    </w:p>
    <w:p w:rsidR="00F20BF6" w:rsidRPr="000C3ED3" w:rsidRDefault="00F20BF6" w:rsidP="00F20BF6">
      <w:pPr>
        <w:numPr>
          <w:ilvl w:val="0"/>
          <w:numId w:val="11"/>
        </w:numPr>
        <w:spacing w:before="0" w:after="0" w:line="240" w:lineRule="auto"/>
        <w:contextualSpacing/>
        <w:rPr>
          <w:rFonts w:ascii="Calibri" w:hAnsi="Calibri"/>
        </w:rPr>
      </w:pPr>
      <w:r w:rsidRPr="000C3ED3">
        <w:rPr>
          <w:rFonts w:ascii="Calibri" w:hAnsi="Calibri"/>
        </w:rPr>
        <w:t>States will negotiate new performance indicators as part of the Unified State Plan in March 2016.</w:t>
      </w:r>
    </w:p>
    <w:p w:rsidR="00F20BF6" w:rsidRPr="000C3ED3" w:rsidRDefault="00F20BF6" w:rsidP="00F20BF6">
      <w:pPr>
        <w:rPr>
          <w:rFonts w:ascii="Calibri" w:hAnsi="Calibri"/>
        </w:rPr>
      </w:pPr>
    </w:p>
    <w:p w:rsidR="00F20BF6" w:rsidRPr="000C3ED3" w:rsidRDefault="00F20BF6" w:rsidP="00F20BF6">
      <w:pPr>
        <w:rPr>
          <w:rFonts w:ascii="Calibri" w:hAnsi="Calibri"/>
          <w:i/>
        </w:rPr>
      </w:pPr>
      <w:proofErr w:type="gramStart"/>
      <w:r w:rsidRPr="000C3ED3">
        <w:rPr>
          <w:rFonts w:ascii="Calibri" w:hAnsi="Calibri"/>
          <w:b/>
          <w:i/>
        </w:rPr>
        <w:t xml:space="preserve">Strengthens alignment between adult education, postsecondary education, and employers:  </w:t>
      </w:r>
      <w:r w:rsidRPr="000C3ED3">
        <w:rPr>
          <w:rFonts w:ascii="Calibri" w:hAnsi="Calibri"/>
          <w:i/>
        </w:rPr>
        <w:t>WIOA recognizes that the core purpose of adult education is to prepare individuals with the skills and knowledge needed to succeed in postsecondary education and the workforce.</w:t>
      </w:r>
      <w:proofErr w:type="gramEnd"/>
    </w:p>
    <w:p w:rsidR="00F20BF6" w:rsidRPr="000C3ED3" w:rsidRDefault="00F20BF6" w:rsidP="00F20BF6">
      <w:pPr>
        <w:numPr>
          <w:ilvl w:val="0"/>
          <w:numId w:val="18"/>
        </w:numPr>
        <w:spacing w:before="0" w:after="0" w:line="240" w:lineRule="auto"/>
        <w:contextualSpacing/>
        <w:rPr>
          <w:rFonts w:ascii="Calibri" w:hAnsi="Calibri"/>
        </w:rPr>
      </w:pPr>
      <w:r w:rsidRPr="000C3ED3">
        <w:rPr>
          <w:rFonts w:ascii="Calibri" w:hAnsi="Calibri"/>
        </w:rPr>
        <w:lastRenderedPageBreak/>
        <w:t>The Act expands the purpose of adult education to emphasize that activities should increase an individual’s ability to transition to postsecondary education and obtain employment.</w:t>
      </w:r>
    </w:p>
    <w:p w:rsidR="00F20BF6" w:rsidRPr="000C3ED3" w:rsidRDefault="00F20BF6" w:rsidP="00F20BF6">
      <w:pPr>
        <w:numPr>
          <w:ilvl w:val="0"/>
          <w:numId w:val="12"/>
        </w:numPr>
        <w:spacing w:before="0" w:after="0" w:line="240" w:lineRule="auto"/>
        <w:contextualSpacing/>
        <w:rPr>
          <w:rFonts w:ascii="Calibri" w:hAnsi="Calibri"/>
        </w:rPr>
      </w:pPr>
      <w:r w:rsidRPr="000C3ED3">
        <w:rPr>
          <w:rFonts w:ascii="Calibri" w:hAnsi="Calibri"/>
        </w:rPr>
        <w:t xml:space="preserve">Promotes the integration of adult education with occupational education and training, as well as development of career pathways systems; authorizes the use of funds for “integrated education and training” and “workforce preparation activities”; and clarifies that integrated English literacy and civics education programs may provide workforce training.  </w:t>
      </w:r>
    </w:p>
    <w:p w:rsidR="00F20BF6" w:rsidRPr="000C3ED3" w:rsidRDefault="00F20BF6" w:rsidP="00F20BF6">
      <w:pPr>
        <w:numPr>
          <w:ilvl w:val="0"/>
          <w:numId w:val="12"/>
        </w:numPr>
        <w:spacing w:before="0" w:after="0" w:line="240" w:lineRule="auto"/>
        <w:contextualSpacing/>
        <w:rPr>
          <w:rFonts w:ascii="Calibri" w:hAnsi="Calibri"/>
        </w:rPr>
      </w:pPr>
      <w:r w:rsidRPr="000C3ED3">
        <w:rPr>
          <w:rFonts w:ascii="Calibri" w:hAnsi="Calibri"/>
        </w:rPr>
        <w:t xml:space="preserve">Encourages activities provided in collaboration with employers. </w:t>
      </w:r>
    </w:p>
    <w:p w:rsidR="00F20BF6" w:rsidRPr="000C3ED3" w:rsidRDefault="00F20BF6" w:rsidP="00F20BF6">
      <w:pPr>
        <w:rPr>
          <w:rFonts w:ascii="Calibri" w:hAnsi="Calibri"/>
        </w:rPr>
      </w:pPr>
    </w:p>
    <w:p w:rsidR="00F20BF6" w:rsidRPr="000C3ED3" w:rsidRDefault="00F20BF6" w:rsidP="00F20BF6">
      <w:pPr>
        <w:rPr>
          <w:rFonts w:ascii="Calibri" w:hAnsi="Calibri"/>
        </w:rPr>
      </w:pPr>
      <w:r w:rsidRPr="000C3ED3">
        <w:rPr>
          <w:rFonts w:ascii="Calibri" w:hAnsi="Calibri"/>
          <w:b/>
          <w:i/>
        </w:rPr>
        <w:t xml:space="preserve">Supports educational and career advancement for incarcerated individuals:  </w:t>
      </w:r>
      <w:r w:rsidRPr="000C3ED3">
        <w:rPr>
          <w:rFonts w:ascii="Calibri" w:hAnsi="Calibri"/>
          <w:i/>
        </w:rPr>
        <w:t>WIOA encourages a range of education and job training activities to promote successful reentry and reduce recidivism.</w:t>
      </w:r>
    </w:p>
    <w:p w:rsidR="00F20BF6" w:rsidRPr="000C3ED3" w:rsidRDefault="00F20BF6" w:rsidP="00F20BF6">
      <w:pPr>
        <w:numPr>
          <w:ilvl w:val="0"/>
          <w:numId w:val="13"/>
        </w:numPr>
        <w:spacing w:before="0" w:after="0" w:line="240" w:lineRule="auto"/>
        <w:ind w:left="360"/>
        <w:contextualSpacing/>
        <w:rPr>
          <w:rFonts w:ascii="Calibri" w:hAnsi="Calibri"/>
        </w:rPr>
      </w:pPr>
      <w:r w:rsidRPr="000C3ED3">
        <w:rPr>
          <w:rFonts w:ascii="Calibri" w:hAnsi="Calibri"/>
        </w:rPr>
        <w:t>The WIOA increases the percentage of funding for States to use for correctional education to not more than 20 percent under the new Act.</w:t>
      </w:r>
    </w:p>
    <w:p w:rsidR="00F20BF6" w:rsidRPr="000C3ED3" w:rsidRDefault="00F20BF6" w:rsidP="00F20BF6">
      <w:pPr>
        <w:numPr>
          <w:ilvl w:val="0"/>
          <w:numId w:val="13"/>
        </w:numPr>
        <w:spacing w:before="0" w:after="0" w:line="240" w:lineRule="auto"/>
        <w:ind w:left="360"/>
        <w:contextualSpacing/>
        <w:rPr>
          <w:rFonts w:ascii="Calibri" w:hAnsi="Calibri"/>
        </w:rPr>
      </w:pPr>
      <w:r w:rsidRPr="000C3ED3">
        <w:rPr>
          <w:rFonts w:ascii="Calibri" w:hAnsi="Calibri"/>
        </w:rPr>
        <w:t>Funds may be used for integrated education and training, career pathways, concurrent enrollment, peer tutoring, and transition to re-entry initiatives and other services with the goal of reducing recidivism.</w:t>
      </w:r>
    </w:p>
    <w:p w:rsidR="00F20BF6" w:rsidRPr="000C3ED3" w:rsidRDefault="00F20BF6" w:rsidP="00F20BF6">
      <w:pPr>
        <w:ind w:left="360"/>
        <w:rPr>
          <w:rFonts w:ascii="Calibri" w:hAnsi="Calibri"/>
        </w:rPr>
      </w:pPr>
    </w:p>
    <w:p w:rsidR="00F20BF6" w:rsidRPr="000C3ED3" w:rsidRDefault="00F20BF6" w:rsidP="00F20BF6">
      <w:pPr>
        <w:rPr>
          <w:rFonts w:ascii="Calibri" w:hAnsi="Calibri"/>
          <w:i/>
        </w:rPr>
      </w:pPr>
      <w:proofErr w:type="gramStart"/>
      <w:r w:rsidRPr="000C3ED3">
        <w:rPr>
          <w:rFonts w:ascii="Calibri" w:hAnsi="Calibri"/>
          <w:b/>
          <w:i/>
        </w:rPr>
        <w:t>Encourages establishment of a high-quality local adult education delivery system:</w:t>
      </w:r>
      <w:r w:rsidRPr="000C3ED3">
        <w:rPr>
          <w:rFonts w:ascii="Calibri" w:hAnsi="Calibri"/>
          <w:i/>
        </w:rPr>
        <w:t xml:space="preserve">  The WIOA amends the considerations States are to use in awarding grants and contracts to local program providers.</w:t>
      </w:r>
      <w:proofErr w:type="gramEnd"/>
    </w:p>
    <w:p w:rsidR="00F20BF6" w:rsidRPr="000C3ED3" w:rsidRDefault="00F20BF6" w:rsidP="00F20BF6">
      <w:pPr>
        <w:numPr>
          <w:ilvl w:val="0"/>
          <w:numId w:val="14"/>
        </w:numPr>
        <w:spacing w:before="0" w:after="0" w:line="240" w:lineRule="auto"/>
        <w:contextualSpacing/>
        <w:rPr>
          <w:rFonts w:ascii="Calibri" w:hAnsi="Calibri"/>
        </w:rPr>
      </w:pPr>
      <w:r w:rsidRPr="000C3ED3">
        <w:rPr>
          <w:rFonts w:ascii="Calibri" w:hAnsi="Calibri"/>
        </w:rPr>
        <w:t xml:space="preserve">There are 13 considerations States are required to use in providing funding to local programs; these include an increased emphasis on alignment of activities with regional needs identified in local plans under Title I; serving individuals with disabilities; instructional activities based on rigorous research; effective use of technology; activities that promote integrated education and training; and coordination with education, training, employers, and social service providers to promote career pathways. </w:t>
      </w:r>
    </w:p>
    <w:p w:rsidR="00F20BF6" w:rsidRPr="000C3ED3" w:rsidRDefault="00F20BF6" w:rsidP="00F20BF6">
      <w:pPr>
        <w:rPr>
          <w:rFonts w:ascii="Calibri" w:hAnsi="Calibri"/>
        </w:rPr>
      </w:pPr>
    </w:p>
    <w:p w:rsidR="00F20BF6" w:rsidRPr="000C3ED3" w:rsidRDefault="00F20BF6" w:rsidP="00F20BF6">
      <w:pPr>
        <w:autoSpaceDE w:val="0"/>
        <w:autoSpaceDN w:val="0"/>
        <w:adjustRightInd w:val="0"/>
        <w:rPr>
          <w:rFonts w:ascii="Calibri" w:hAnsi="Calibri"/>
          <w:i/>
        </w:rPr>
      </w:pPr>
      <w:proofErr w:type="gramStart"/>
      <w:r w:rsidRPr="000C3ED3">
        <w:rPr>
          <w:rFonts w:ascii="Calibri" w:hAnsi="Calibri"/>
          <w:b/>
          <w:i/>
        </w:rPr>
        <w:t xml:space="preserve">Supports professional development opportunities and innovative models to enhance adult education programs:  </w:t>
      </w:r>
      <w:r w:rsidRPr="000C3ED3">
        <w:rPr>
          <w:rFonts w:ascii="Calibri" w:hAnsi="Calibri"/>
          <w:i/>
        </w:rPr>
        <w:t>The WIOA adds four new required leadership activities to be supported with State leadership funds.</w:t>
      </w:r>
      <w:proofErr w:type="gramEnd"/>
    </w:p>
    <w:p w:rsidR="00F20BF6" w:rsidRPr="000C3ED3" w:rsidRDefault="00F20BF6" w:rsidP="00F20BF6">
      <w:pPr>
        <w:numPr>
          <w:ilvl w:val="0"/>
          <w:numId w:val="14"/>
        </w:numPr>
        <w:autoSpaceDE w:val="0"/>
        <w:autoSpaceDN w:val="0"/>
        <w:adjustRightInd w:val="0"/>
        <w:spacing w:before="0" w:after="0" w:line="240" w:lineRule="auto"/>
        <w:contextualSpacing/>
        <w:rPr>
          <w:rFonts w:ascii="Calibri" w:hAnsi="Calibri"/>
          <w:b/>
        </w:rPr>
      </w:pPr>
      <w:r w:rsidRPr="000C3ED3">
        <w:rPr>
          <w:rFonts w:ascii="Calibri" w:hAnsi="Calibri"/>
        </w:rPr>
        <w:t>WIOA encourages activities to support alignment among core programs to implement the State plan strategy, including the development of career pathways; establishment of high quality professional development programs to improve instruction; technical assistance based on rigorous research; and evaluation and dissemination of information about promising practices within the state.</w:t>
      </w:r>
    </w:p>
    <w:p w:rsidR="00F20BF6" w:rsidRPr="000C3ED3" w:rsidRDefault="00F20BF6" w:rsidP="00F20BF6">
      <w:pPr>
        <w:numPr>
          <w:ilvl w:val="0"/>
          <w:numId w:val="14"/>
        </w:numPr>
        <w:autoSpaceDE w:val="0"/>
        <w:autoSpaceDN w:val="0"/>
        <w:adjustRightInd w:val="0"/>
        <w:spacing w:before="0" w:after="0" w:line="240" w:lineRule="auto"/>
        <w:contextualSpacing/>
        <w:rPr>
          <w:rFonts w:ascii="Calibri" w:hAnsi="Calibri"/>
          <w:b/>
        </w:rPr>
      </w:pPr>
      <w:r w:rsidRPr="000C3ED3">
        <w:rPr>
          <w:rFonts w:ascii="Calibri" w:hAnsi="Calibri"/>
        </w:rPr>
        <w:t>States may also use funds for several allowable activities related to instructional technology, models for integrated education and training and career pathways, and support to eligible providers in achieving performance goals, among other activities.</w:t>
      </w:r>
    </w:p>
    <w:p w:rsidR="00F20BF6" w:rsidRPr="000C3ED3" w:rsidRDefault="00F20BF6" w:rsidP="00F20BF6">
      <w:pPr>
        <w:autoSpaceDE w:val="0"/>
        <w:autoSpaceDN w:val="0"/>
        <w:adjustRightInd w:val="0"/>
        <w:ind w:left="360"/>
        <w:rPr>
          <w:rFonts w:ascii="Calibri" w:hAnsi="Calibri"/>
        </w:rPr>
      </w:pPr>
    </w:p>
    <w:p w:rsidR="00F20BF6" w:rsidRPr="000C3ED3" w:rsidRDefault="00F20BF6" w:rsidP="00F20BF6">
      <w:pPr>
        <w:rPr>
          <w:rFonts w:ascii="Calibri" w:hAnsi="Calibri"/>
          <w:i/>
        </w:rPr>
      </w:pPr>
      <w:proofErr w:type="gramStart"/>
      <w:r w:rsidRPr="000C3ED3">
        <w:rPr>
          <w:rFonts w:ascii="Calibri" w:hAnsi="Calibri"/>
          <w:b/>
          <w:i/>
        </w:rPr>
        <w:t xml:space="preserve">Promotes activities to improve the quality of adult education programs:  </w:t>
      </w:r>
      <w:r w:rsidRPr="000C3ED3">
        <w:rPr>
          <w:rFonts w:ascii="Calibri" w:hAnsi="Calibri"/>
          <w:i/>
        </w:rPr>
        <w:t>The WIOA is committed to ensuring that resources support activities that better prepare adult students for postsecondary and career success.</w:t>
      </w:r>
      <w:proofErr w:type="gramEnd"/>
    </w:p>
    <w:p w:rsidR="00F20BF6" w:rsidRPr="000C3ED3" w:rsidRDefault="00F20BF6" w:rsidP="00F20BF6">
      <w:pPr>
        <w:numPr>
          <w:ilvl w:val="0"/>
          <w:numId w:val="15"/>
        </w:numPr>
        <w:spacing w:before="0" w:after="0" w:line="240" w:lineRule="auto"/>
        <w:contextualSpacing/>
        <w:rPr>
          <w:rFonts w:ascii="Calibri" w:hAnsi="Calibri"/>
        </w:rPr>
      </w:pPr>
      <w:r w:rsidRPr="000C3ED3">
        <w:rPr>
          <w:rFonts w:ascii="Calibri" w:hAnsi="Calibri"/>
        </w:rPr>
        <w:lastRenderedPageBreak/>
        <w:t xml:space="preserve">The WIOA reserves 2 percent of AEFLA funds (not to exceed $15 million) to carry out national leadership activities.  </w:t>
      </w:r>
    </w:p>
    <w:p w:rsidR="00F20BF6" w:rsidRPr="000C3ED3" w:rsidRDefault="00F20BF6" w:rsidP="00F20BF6">
      <w:pPr>
        <w:numPr>
          <w:ilvl w:val="0"/>
          <w:numId w:val="16"/>
        </w:numPr>
        <w:autoSpaceDE w:val="0"/>
        <w:autoSpaceDN w:val="0"/>
        <w:adjustRightInd w:val="0"/>
        <w:spacing w:before="0" w:after="0" w:line="240" w:lineRule="auto"/>
        <w:contextualSpacing/>
        <w:rPr>
          <w:rFonts w:ascii="Calibri" w:hAnsi="Calibri"/>
        </w:rPr>
      </w:pPr>
      <w:r w:rsidRPr="000C3ED3">
        <w:rPr>
          <w:rFonts w:ascii="Calibri" w:hAnsi="Calibri"/>
        </w:rPr>
        <w:t>The Act requires the Secretary to support four mandatory technical assistance activities, including support for implementing the new common performance measures; conducting rigorous research and evaluations; and carrying out an independent evaluation of adult education and literacy activities every four years.</w:t>
      </w:r>
    </w:p>
    <w:p w:rsidR="00F20BF6" w:rsidRPr="000C3ED3" w:rsidRDefault="00F20BF6" w:rsidP="00F20BF6">
      <w:pPr>
        <w:ind w:left="360"/>
        <w:rPr>
          <w:rFonts w:ascii="Calibri" w:hAnsi="Calibri"/>
        </w:rPr>
      </w:pPr>
    </w:p>
    <w:p w:rsidR="00F20BF6" w:rsidRPr="000C3ED3" w:rsidRDefault="00F20BF6" w:rsidP="00F20BF6">
      <w:pPr>
        <w:rPr>
          <w:rFonts w:ascii="Calibri" w:hAnsi="Calibri"/>
        </w:rPr>
      </w:pPr>
      <w:proofErr w:type="gramStart"/>
      <w:r w:rsidRPr="000C3ED3">
        <w:rPr>
          <w:rFonts w:ascii="Calibri" w:hAnsi="Calibri"/>
          <w:b/>
          <w:i/>
        </w:rPr>
        <w:t xml:space="preserve">Codifies the integrated English Literacy and Civics education (IEL/CE) program:  </w:t>
      </w:r>
      <w:r w:rsidRPr="000C3ED3">
        <w:rPr>
          <w:rFonts w:ascii="Calibri" w:hAnsi="Calibri"/>
          <w:i/>
        </w:rPr>
        <w:t>The WIOA reinforces support for IEL/CE programs through codification and enhanced services for individuals to effectively participate in education, work, and civic opportunities.</w:t>
      </w:r>
      <w:proofErr w:type="gramEnd"/>
    </w:p>
    <w:p w:rsidR="00F20BF6" w:rsidRPr="000C3ED3" w:rsidRDefault="00F20BF6" w:rsidP="00F20BF6">
      <w:pPr>
        <w:numPr>
          <w:ilvl w:val="0"/>
          <w:numId w:val="17"/>
        </w:numPr>
        <w:spacing w:before="0" w:after="0" w:line="240" w:lineRule="auto"/>
        <w:contextualSpacing/>
        <w:rPr>
          <w:rFonts w:ascii="Calibri" w:hAnsi="Calibri"/>
        </w:rPr>
      </w:pPr>
      <w:r w:rsidRPr="000C3ED3">
        <w:rPr>
          <w:rFonts w:ascii="Calibri" w:hAnsi="Calibri"/>
        </w:rPr>
        <w:t>The WIOA codifies the authority to carry out the Integrated English Literacy and Civics Education (IEL/CE) program, in which 12 percent of AEFLA funds (after reserving funds for national leadership activities) will be reserved to carry out the IEL/CE program.  The allocation formula remains the same.</w:t>
      </w:r>
    </w:p>
    <w:p w:rsidR="00F20BF6" w:rsidRPr="000C3ED3" w:rsidRDefault="00F20BF6" w:rsidP="00F20BF6">
      <w:pPr>
        <w:numPr>
          <w:ilvl w:val="0"/>
          <w:numId w:val="17"/>
        </w:numPr>
        <w:spacing w:before="0" w:after="240" w:line="240" w:lineRule="auto"/>
        <w:contextualSpacing/>
        <w:rPr>
          <w:rFonts w:ascii="Calibri" w:hAnsi="Calibri"/>
        </w:rPr>
      </w:pPr>
      <w:r w:rsidRPr="000C3ED3">
        <w:rPr>
          <w:rFonts w:ascii="Calibri" w:hAnsi="Calibri"/>
        </w:rPr>
        <w:t>Programs should be designed to</w:t>
      </w:r>
      <w:r>
        <w:rPr>
          <w:rFonts w:ascii="Calibri" w:hAnsi="Calibri"/>
        </w:rPr>
        <w:t xml:space="preserve">: (1) </w:t>
      </w:r>
      <w:r w:rsidRPr="000C3ED3">
        <w:rPr>
          <w:rFonts w:ascii="Calibri" w:hAnsi="Calibri"/>
        </w:rPr>
        <w:t>prepare adults who are English language learners for, and place them in, unsubsidized employment in in-demand industries and occupations that lead to econo</w:t>
      </w:r>
      <w:r>
        <w:rPr>
          <w:rFonts w:ascii="Calibri" w:hAnsi="Calibri"/>
        </w:rPr>
        <w:t>mic self-sufficiency; and (2)</w:t>
      </w:r>
      <w:r w:rsidRPr="000C3ED3">
        <w:rPr>
          <w:rFonts w:ascii="Calibri" w:hAnsi="Calibri"/>
        </w:rPr>
        <w:t xml:space="preserve"> integrate with the local workforce development system and its functions to carry out the program.</w:t>
      </w:r>
    </w:p>
    <w:p w:rsidR="00F20BF6" w:rsidRDefault="00596867" w:rsidP="00F57D00">
      <w:pPr>
        <w:pStyle w:val="Heading2"/>
        <w:shd w:val="clear" w:color="auto" w:fill="244061" w:themeFill="accent1" w:themeFillShade="80"/>
        <w:rPr>
          <w:sz w:val="22"/>
          <w:szCs w:val="22"/>
        </w:rPr>
      </w:pPr>
      <w:r>
        <w:t>WIOA Details</w:t>
      </w:r>
    </w:p>
    <w:p w:rsidR="00F20BF6" w:rsidRPr="00F57D00" w:rsidRDefault="00F20BF6" w:rsidP="00BD6646">
      <w:pPr>
        <w:pStyle w:val="Heading3"/>
        <w:rPr>
          <w:color w:val="632423" w:themeColor="accent2" w:themeShade="80"/>
        </w:rPr>
      </w:pPr>
      <w:r w:rsidRPr="00F57D00">
        <w:rPr>
          <w:color w:val="632423" w:themeColor="accent2" w:themeShade="80"/>
        </w:rPr>
        <w:t>Important Title I Definitions</w:t>
      </w:r>
    </w:p>
    <w:p w:rsidR="00F20BF6" w:rsidRPr="00027DD2" w:rsidRDefault="00F20BF6" w:rsidP="00F20BF6">
      <w:pPr>
        <w:numPr>
          <w:ilvl w:val="0"/>
          <w:numId w:val="21"/>
        </w:numPr>
        <w:tabs>
          <w:tab w:val="num" w:pos="720"/>
        </w:tabs>
        <w:spacing w:before="0" w:after="0" w:line="240" w:lineRule="auto"/>
        <w:rPr>
          <w:rFonts w:ascii="Calibri" w:hAnsi="Calibri"/>
        </w:rPr>
      </w:pPr>
      <w:r w:rsidRPr="00027DD2">
        <w:rPr>
          <w:rFonts w:ascii="Calibri" w:hAnsi="Calibri"/>
        </w:rPr>
        <w:t xml:space="preserve">Individual with Barriers to Employment </w:t>
      </w:r>
    </w:p>
    <w:p w:rsidR="00F20BF6" w:rsidRPr="00027DD2" w:rsidRDefault="00F20BF6" w:rsidP="00F20BF6">
      <w:pPr>
        <w:numPr>
          <w:ilvl w:val="0"/>
          <w:numId w:val="21"/>
        </w:numPr>
        <w:tabs>
          <w:tab w:val="num" w:pos="720"/>
        </w:tabs>
        <w:spacing w:before="0" w:after="0" w:line="240" w:lineRule="auto"/>
        <w:rPr>
          <w:rFonts w:ascii="Calibri" w:hAnsi="Calibri"/>
        </w:rPr>
      </w:pPr>
      <w:r w:rsidRPr="00027DD2">
        <w:rPr>
          <w:rFonts w:ascii="Calibri" w:hAnsi="Calibri"/>
        </w:rPr>
        <w:t>Career Pathway</w:t>
      </w:r>
    </w:p>
    <w:p w:rsidR="00F20BF6" w:rsidRPr="00027DD2" w:rsidRDefault="00F20BF6" w:rsidP="00F20BF6">
      <w:pPr>
        <w:numPr>
          <w:ilvl w:val="0"/>
          <w:numId w:val="21"/>
        </w:numPr>
        <w:tabs>
          <w:tab w:val="num" w:pos="720"/>
        </w:tabs>
        <w:spacing w:before="0" w:after="0" w:line="240" w:lineRule="auto"/>
        <w:rPr>
          <w:rFonts w:ascii="Calibri" w:hAnsi="Calibri"/>
        </w:rPr>
      </w:pPr>
      <w:r w:rsidRPr="00027DD2">
        <w:rPr>
          <w:rFonts w:ascii="Calibri" w:hAnsi="Calibri"/>
        </w:rPr>
        <w:t>One-Stop Partner</w:t>
      </w:r>
    </w:p>
    <w:p w:rsidR="00F20BF6" w:rsidRPr="00027DD2" w:rsidRDefault="00F20BF6" w:rsidP="00F20BF6">
      <w:pPr>
        <w:numPr>
          <w:ilvl w:val="0"/>
          <w:numId w:val="21"/>
        </w:numPr>
        <w:tabs>
          <w:tab w:val="num" w:pos="720"/>
        </w:tabs>
        <w:spacing w:before="0" w:after="0" w:line="240" w:lineRule="auto"/>
        <w:rPr>
          <w:rFonts w:ascii="Calibri" w:hAnsi="Calibri"/>
        </w:rPr>
      </w:pPr>
      <w:r w:rsidRPr="00027DD2">
        <w:rPr>
          <w:rFonts w:ascii="Calibri" w:hAnsi="Calibri"/>
        </w:rPr>
        <w:t>Supportive Services</w:t>
      </w:r>
    </w:p>
    <w:p w:rsidR="00596867" w:rsidRDefault="00F20BF6" w:rsidP="00596867">
      <w:pPr>
        <w:numPr>
          <w:ilvl w:val="0"/>
          <w:numId w:val="21"/>
        </w:numPr>
        <w:tabs>
          <w:tab w:val="num" w:pos="720"/>
        </w:tabs>
        <w:spacing w:before="0" w:after="0" w:line="240" w:lineRule="auto"/>
        <w:rPr>
          <w:rFonts w:ascii="Calibri" w:hAnsi="Calibri"/>
        </w:rPr>
      </w:pPr>
      <w:r w:rsidRPr="00027DD2">
        <w:rPr>
          <w:rFonts w:ascii="Calibri" w:hAnsi="Calibri"/>
        </w:rPr>
        <w:t>Workforce Development System</w:t>
      </w:r>
    </w:p>
    <w:p w:rsidR="00596867" w:rsidRDefault="00596867" w:rsidP="00596867">
      <w:pPr>
        <w:spacing w:before="0" w:after="0" w:line="240" w:lineRule="auto"/>
        <w:rPr>
          <w:rFonts w:ascii="Calibri" w:hAnsi="Calibri"/>
        </w:rPr>
      </w:pPr>
    </w:p>
    <w:p w:rsidR="00F20BF6" w:rsidRPr="00596867" w:rsidRDefault="00F20BF6" w:rsidP="002D082F">
      <w:pPr>
        <w:pStyle w:val="Heading4"/>
      </w:pPr>
      <w:r w:rsidRPr="00596867">
        <w:t>Individual with barrier to employment</w:t>
      </w:r>
    </w:p>
    <w:tbl>
      <w:tblPr>
        <w:tblStyle w:val="MediumShading2-Accent2"/>
        <w:tblW w:w="9594" w:type="dxa"/>
        <w:tblLook w:val="0420" w:firstRow="1" w:lastRow="0" w:firstColumn="0" w:lastColumn="0" w:noHBand="0" w:noVBand="1"/>
      </w:tblPr>
      <w:tblGrid>
        <w:gridCol w:w="2664"/>
        <w:gridCol w:w="3510"/>
        <w:gridCol w:w="3420"/>
      </w:tblGrid>
      <w:tr w:rsidR="002D082F" w:rsidRPr="002D082F" w:rsidTr="00F57D00">
        <w:trPr>
          <w:cnfStyle w:val="100000000000" w:firstRow="1" w:lastRow="0" w:firstColumn="0" w:lastColumn="0" w:oddVBand="0" w:evenVBand="0" w:oddHBand="0" w:evenHBand="0" w:firstRowFirstColumn="0" w:firstRowLastColumn="0" w:lastRowFirstColumn="0" w:lastRowLastColumn="0"/>
          <w:trHeight w:val="268"/>
          <w:tblHeader/>
        </w:trPr>
        <w:tc>
          <w:tcPr>
            <w:tcW w:w="9594" w:type="dxa"/>
            <w:gridSpan w:val="3"/>
            <w:shd w:val="clear" w:color="auto" w:fill="244061" w:themeFill="accent1" w:themeFillShade="80"/>
            <w:hideMark/>
          </w:tcPr>
          <w:p w:rsidR="005F13B5" w:rsidRPr="002D082F" w:rsidRDefault="00596867" w:rsidP="002D082F">
            <w:pPr>
              <w:rPr>
                <w:rFonts w:ascii="Calibri" w:hAnsi="Calibri"/>
              </w:rPr>
            </w:pPr>
            <w:r w:rsidRPr="002D082F">
              <w:rPr>
                <w:rFonts w:ascii="Calibri" w:hAnsi="Calibri"/>
                <w:i/>
                <w:iCs/>
              </w:rPr>
              <w:t>A member of one or more of the following populations:</w:t>
            </w:r>
          </w:p>
        </w:tc>
      </w:tr>
      <w:tr w:rsidR="002D082F" w:rsidRPr="00596867" w:rsidTr="00190AFA">
        <w:trPr>
          <w:cnfStyle w:val="000000100000" w:firstRow="0" w:lastRow="0" w:firstColumn="0" w:lastColumn="0" w:oddVBand="0" w:evenVBand="0" w:oddHBand="1" w:evenHBand="0" w:firstRowFirstColumn="0" w:firstRowLastColumn="0" w:lastRowFirstColumn="0" w:lastRowLastColumn="0"/>
          <w:trHeight w:val="237"/>
        </w:trPr>
        <w:tc>
          <w:tcPr>
            <w:tcW w:w="2664" w:type="dxa"/>
            <w:tcBorders>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Displaced homemakers</w:t>
            </w:r>
          </w:p>
        </w:tc>
        <w:tc>
          <w:tcPr>
            <w:tcW w:w="3510" w:type="dxa"/>
            <w:tcBorders>
              <w:top w:val="nil"/>
              <w:left w:val="single" w:sz="4" w:space="0" w:color="4F81BD" w:themeColor="accent1"/>
              <w:bottom w:val="nil"/>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Ex-offenders</w:t>
            </w:r>
          </w:p>
        </w:tc>
        <w:tc>
          <w:tcPr>
            <w:tcW w:w="3420" w:type="dxa"/>
            <w:tcBorders>
              <w:lef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Long-term unemployed</w:t>
            </w:r>
          </w:p>
        </w:tc>
      </w:tr>
      <w:tr w:rsidR="002D082F" w:rsidRPr="00596867" w:rsidTr="00190AFA">
        <w:trPr>
          <w:trHeight w:val="808"/>
        </w:trPr>
        <w:tc>
          <w:tcPr>
            <w:tcW w:w="2664" w:type="dxa"/>
            <w:tcBorders>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Low-income individuals</w:t>
            </w:r>
          </w:p>
        </w:tc>
        <w:tc>
          <w:tcPr>
            <w:tcW w:w="3510" w:type="dxa"/>
            <w:tcBorders>
              <w:top w:val="nil"/>
              <w:left w:val="single" w:sz="4" w:space="0" w:color="4F81BD" w:themeColor="accent1"/>
              <w:bottom w:val="nil"/>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Homeless individuals, or homeless children and youth</w:t>
            </w:r>
          </w:p>
        </w:tc>
        <w:tc>
          <w:tcPr>
            <w:tcW w:w="3420" w:type="dxa"/>
            <w:tcBorders>
              <w:lef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Individuals within 2 years of exhausting lifetime eligibility under the SSA, title IV part A</w:t>
            </w:r>
          </w:p>
        </w:tc>
      </w:tr>
      <w:tr w:rsidR="002D082F" w:rsidRPr="00596867" w:rsidTr="00190AFA">
        <w:trPr>
          <w:cnfStyle w:val="000000100000" w:firstRow="0" w:lastRow="0" w:firstColumn="0" w:lastColumn="0" w:oddVBand="0" w:evenVBand="0" w:oddHBand="1" w:evenHBand="0" w:firstRowFirstColumn="0" w:firstRowLastColumn="0" w:lastRowFirstColumn="0" w:lastRowLastColumn="0"/>
          <w:trHeight w:val="547"/>
        </w:trPr>
        <w:tc>
          <w:tcPr>
            <w:tcW w:w="2664" w:type="dxa"/>
            <w:tcBorders>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Indians, Alaska Natives, and Native Hawaiians</w:t>
            </w:r>
          </w:p>
        </w:tc>
        <w:tc>
          <w:tcPr>
            <w:tcW w:w="3510" w:type="dxa"/>
            <w:tcBorders>
              <w:top w:val="nil"/>
              <w:left w:val="single" w:sz="4" w:space="0" w:color="4F81BD" w:themeColor="accent1"/>
              <w:bottom w:val="nil"/>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Youth who are in or have aged out of foster care</w:t>
            </w:r>
          </w:p>
        </w:tc>
        <w:tc>
          <w:tcPr>
            <w:tcW w:w="3420" w:type="dxa"/>
            <w:tcBorders>
              <w:lef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Single parents (including single pregnant women)</w:t>
            </w:r>
          </w:p>
        </w:tc>
      </w:tr>
      <w:tr w:rsidR="002D082F" w:rsidRPr="00596867" w:rsidTr="00190AFA">
        <w:trPr>
          <w:trHeight w:val="1078"/>
        </w:trPr>
        <w:tc>
          <w:tcPr>
            <w:tcW w:w="2664" w:type="dxa"/>
            <w:tcBorders>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Individuals with disabilities, including youth</w:t>
            </w:r>
          </w:p>
        </w:tc>
        <w:tc>
          <w:tcPr>
            <w:tcW w:w="3510" w:type="dxa"/>
            <w:tcBorders>
              <w:top w:val="nil"/>
              <w:left w:val="single" w:sz="4" w:space="0" w:color="4F81BD" w:themeColor="accent1"/>
              <w:bottom w:val="nil"/>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English language learners, individuals with low levels of literacy, and individuals facing substantial cultural barriers</w:t>
            </w:r>
          </w:p>
        </w:tc>
        <w:tc>
          <w:tcPr>
            <w:tcW w:w="3420" w:type="dxa"/>
            <w:tcBorders>
              <w:lef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Such other groups as the Governor determines to have barriers to employment</w:t>
            </w:r>
          </w:p>
        </w:tc>
      </w:tr>
      <w:tr w:rsidR="002D082F" w:rsidRPr="00596867" w:rsidTr="00190AFA">
        <w:trPr>
          <w:cnfStyle w:val="000000100000" w:firstRow="0" w:lastRow="0" w:firstColumn="0" w:lastColumn="0" w:oddVBand="0" w:evenVBand="0" w:oddHBand="1" w:evenHBand="0" w:firstRowFirstColumn="0" w:firstRowLastColumn="0" w:lastRowFirstColumn="0" w:lastRowLastColumn="0"/>
          <w:trHeight w:val="358"/>
        </w:trPr>
        <w:tc>
          <w:tcPr>
            <w:tcW w:w="2664" w:type="dxa"/>
            <w:tcBorders>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Older individuals</w:t>
            </w:r>
          </w:p>
        </w:tc>
        <w:tc>
          <w:tcPr>
            <w:tcW w:w="3510" w:type="dxa"/>
            <w:tcBorders>
              <w:top w:val="nil"/>
              <w:left w:val="single" w:sz="4" w:space="0" w:color="4F81BD" w:themeColor="accent1"/>
              <w:bottom w:val="single" w:sz="18" w:space="0" w:color="auto"/>
              <w:right w:val="single" w:sz="4" w:space="0" w:color="4F81BD" w:themeColor="accent1"/>
            </w:tcBorders>
            <w:hideMark/>
          </w:tcPr>
          <w:p w:rsidR="005F13B5" w:rsidRPr="00596867" w:rsidRDefault="00596867" w:rsidP="002D082F">
            <w:pPr>
              <w:rPr>
                <w:rFonts w:ascii="Calibri" w:hAnsi="Calibri"/>
              </w:rPr>
            </w:pPr>
            <w:r w:rsidRPr="00596867">
              <w:rPr>
                <w:rFonts w:ascii="Calibri" w:hAnsi="Calibri"/>
              </w:rPr>
              <w:t>Migrant and seasonal farmworkers</w:t>
            </w:r>
          </w:p>
        </w:tc>
        <w:tc>
          <w:tcPr>
            <w:tcW w:w="3420" w:type="dxa"/>
            <w:tcBorders>
              <w:left w:val="single" w:sz="4" w:space="0" w:color="4F81BD" w:themeColor="accent1"/>
            </w:tcBorders>
            <w:hideMark/>
          </w:tcPr>
          <w:p w:rsidR="00596867" w:rsidRPr="00596867" w:rsidRDefault="00596867" w:rsidP="002D082F">
            <w:pPr>
              <w:rPr>
                <w:rFonts w:ascii="Calibri" w:hAnsi="Calibri"/>
              </w:rPr>
            </w:pPr>
          </w:p>
        </w:tc>
      </w:tr>
    </w:tbl>
    <w:p w:rsidR="00596867" w:rsidRDefault="00596867" w:rsidP="00596867">
      <w:pPr>
        <w:spacing w:before="0" w:after="0" w:line="240" w:lineRule="auto"/>
        <w:rPr>
          <w:rFonts w:ascii="Calibri" w:hAnsi="Calibri"/>
        </w:rPr>
      </w:pPr>
    </w:p>
    <w:p w:rsidR="00F57D00" w:rsidRDefault="00F57D00">
      <w:pPr>
        <w:rPr>
          <w:rFonts w:eastAsiaTheme="majorEastAsia" w:cstheme="majorBidi"/>
          <w:b/>
          <w:bCs/>
          <w:i/>
          <w:iCs/>
          <w:color w:val="632423" w:themeColor="accent2" w:themeShade="80"/>
        </w:rPr>
      </w:pPr>
      <w:r>
        <w:rPr>
          <w:color w:val="632423" w:themeColor="accent2" w:themeShade="80"/>
        </w:rPr>
        <w:br w:type="page"/>
      </w:r>
    </w:p>
    <w:p w:rsidR="00F20BF6" w:rsidRPr="00F57D00" w:rsidRDefault="00F20BF6" w:rsidP="002D082F">
      <w:pPr>
        <w:pStyle w:val="Heading4"/>
        <w:rPr>
          <w:color w:val="632423" w:themeColor="accent2" w:themeShade="80"/>
        </w:rPr>
      </w:pPr>
      <w:r w:rsidRPr="00F57D00">
        <w:rPr>
          <w:color w:val="632423" w:themeColor="accent2" w:themeShade="80"/>
        </w:rPr>
        <w:lastRenderedPageBreak/>
        <w:t>Career Pathway</w:t>
      </w:r>
    </w:p>
    <w:tbl>
      <w:tblPr>
        <w:tblStyle w:val="MediumShading2-Accent2"/>
        <w:tblW w:w="9594" w:type="dxa"/>
        <w:tblLook w:val="0420" w:firstRow="1" w:lastRow="0" w:firstColumn="0" w:lastColumn="0" w:noHBand="0" w:noVBand="1"/>
      </w:tblPr>
      <w:tblGrid>
        <w:gridCol w:w="4644"/>
        <w:gridCol w:w="4950"/>
      </w:tblGrid>
      <w:tr w:rsidR="002D082F" w:rsidRPr="002D082F" w:rsidTr="00F57D00">
        <w:trPr>
          <w:cnfStyle w:val="100000000000" w:firstRow="1" w:lastRow="0" w:firstColumn="0" w:lastColumn="0" w:oddVBand="0" w:evenVBand="0" w:oddHBand="0" w:evenHBand="0" w:firstRowFirstColumn="0" w:firstRowLastColumn="0" w:lastRowFirstColumn="0" w:lastRowLastColumn="0"/>
          <w:trHeight w:val="367"/>
          <w:tblHeader/>
        </w:trPr>
        <w:tc>
          <w:tcPr>
            <w:tcW w:w="9594" w:type="dxa"/>
            <w:gridSpan w:val="2"/>
            <w:shd w:val="clear" w:color="auto" w:fill="244061" w:themeFill="accent1" w:themeFillShade="80"/>
            <w:hideMark/>
          </w:tcPr>
          <w:p w:rsidR="005F13B5" w:rsidRPr="002D082F" w:rsidRDefault="002D082F" w:rsidP="002D082F">
            <w:pPr>
              <w:rPr>
                <w:rFonts w:ascii="Calibri" w:hAnsi="Calibri"/>
              </w:rPr>
            </w:pPr>
            <w:r w:rsidRPr="002D082F">
              <w:rPr>
                <w:rFonts w:ascii="Calibri" w:hAnsi="Calibri"/>
                <w:i/>
                <w:iCs/>
              </w:rPr>
              <w:t>A combination of rigorous and high-quality education, trai</w:t>
            </w:r>
            <w:r>
              <w:rPr>
                <w:rFonts w:ascii="Calibri" w:hAnsi="Calibri"/>
                <w:b w:val="0"/>
                <w:bCs w:val="0"/>
                <w:i/>
                <w:iCs/>
              </w:rPr>
              <w:t>ning, and other services that:</w:t>
            </w:r>
          </w:p>
        </w:tc>
      </w:tr>
      <w:tr w:rsidR="002D082F" w:rsidRPr="002D082F" w:rsidTr="00190AFA">
        <w:trPr>
          <w:cnfStyle w:val="000000100000" w:firstRow="0" w:lastRow="0" w:firstColumn="0" w:lastColumn="0" w:oddVBand="0" w:evenVBand="0" w:oddHBand="1" w:evenHBand="0" w:firstRowFirstColumn="0" w:firstRowLastColumn="0" w:lastRowFirstColumn="0" w:lastRowLastColumn="0"/>
          <w:trHeight w:val="840"/>
        </w:trPr>
        <w:tc>
          <w:tcPr>
            <w:tcW w:w="4644" w:type="dxa"/>
            <w:tcBorders>
              <w:top w:val="nil"/>
              <w:bottom w:val="nil"/>
              <w:right w:val="single" w:sz="4" w:space="0" w:color="4F81BD" w:themeColor="accent1"/>
            </w:tcBorders>
            <w:hideMark/>
          </w:tcPr>
          <w:p w:rsidR="005F13B5" w:rsidRPr="002D082F" w:rsidRDefault="002D082F" w:rsidP="002D082F">
            <w:pPr>
              <w:rPr>
                <w:rFonts w:ascii="Calibri" w:hAnsi="Calibri"/>
              </w:rPr>
            </w:pPr>
            <w:r w:rsidRPr="002D082F">
              <w:rPr>
                <w:rFonts w:ascii="Calibri" w:hAnsi="Calibri"/>
              </w:rPr>
              <w:t>Aligns with skill needs of industries in the State and regional economy</w:t>
            </w:r>
          </w:p>
        </w:tc>
        <w:tc>
          <w:tcPr>
            <w:tcW w:w="4950" w:type="dxa"/>
            <w:tcBorders>
              <w:top w:val="nil"/>
              <w:left w:val="single" w:sz="4" w:space="0" w:color="4F81BD" w:themeColor="accent1"/>
              <w:bottom w:val="nil"/>
            </w:tcBorders>
            <w:hideMark/>
          </w:tcPr>
          <w:p w:rsidR="005F13B5" w:rsidRPr="002D082F" w:rsidRDefault="002D082F" w:rsidP="002D082F">
            <w:pPr>
              <w:rPr>
                <w:rFonts w:ascii="Calibri" w:hAnsi="Calibri"/>
              </w:rPr>
            </w:pPr>
            <w:r w:rsidRPr="002D082F">
              <w:rPr>
                <w:rFonts w:ascii="Calibri" w:hAnsi="Calibri"/>
              </w:rPr>
              <w:t>Organizes education, training, and other services to meet the particular needs of an individual to accelerate educational and career advancement</w:t>
            </w:r>
          </w:p>
        </w:tc>
      </w:tr>
      <w:tr w:rsidR="002D082F" w:rsidRPr="002D082F" w:rsidTr="00190AFA">
        <w:trPr>
          <w:trHeight w:val="898"/>
        </w:trPr>
        <w:tc>
          <w:tcPr>
            <w:tcW w:w="4644" w:type="dxa"/>
            <w:tcBorders>
              <w:top w:val="nil"/>
              <w:right w:val="single" w:sz="4" w:space="0" w:color="4F81BD" w:themeColor="accent1"/>
            </w:tcBorders>
            <w:hideMark/>
          </w:tcPr>
          <w:p w:rsidR="005F13B5" w:rsidRPr="002D082F" w:rsidRDefault="002D082F" w:rsidP="002D082F">
            <w:pPr>
              <w:rPr>
                <w:rFonts w:ascii="Calibri" w:hAnsi="Calibri"/>
              </w:rPr>
            </w:pPr>
            <w:r w:rsidRPr="002D082F">
              <w:rPr>
                <w:rFonts w:ascii="Calibri" w:hAnsi="Calibri"/>
              </w:rPr>
              <w:t>Prepares individual to be successful in secondary or postsecondary education options, including registered apprenticeship</w:t>
            </w:r>
          </w:p>
        </w:tc>
        <w:tc>
          <w:tcPr>
            <w:tcW w:w="4950" w:type="dxa"/>
            <w:tcBorders>
              <w:top w:val="nil"/>
              <w:left w:val="single" w:sz="4" w:space="0" w:color="4F81BD" w:themeColor="accent1"/>
              <w:bottom w:val="nil"/>
            </w:tcBorders>
            <w:hideMark/>
          </w:tcPr>
          <w:p w:rsidR="005F13B5" w:rsidRPr="002D082F" w:rsidRDefault="002D082F" w:rsidP="002D082F">
            <w:pPr>
              <w:rPr>
                <w:rFonts w:ascii="Calibri" w:hAnsi="Calibri"/>
              </w:rPr>
            </w:pPr>
            <w:r w:rsidRPr="002D082F">
              <w:rPr>
                <w:rFonts w:ascii="Calibri" w:hAnsi="Calibri"/>
              </w:rPr>
              <w:t>Enables an individual to attain a secondary school diploma or its recognized equivalent, and at least 1 recognized postsecondary credential</w:t>
            </w:r>
          </w:p>
        </w:tc>
      </w:tr>
      <w:tr w:rsidR="002D082F" w:rsidRPr="002D082F" w:rsidTr="00190AFA">
        <w:trPr>
          <w:cnfStyle w:val="000000100000" w:firstRow="0" w:lastRow="0" w:firstColumn="0" w:lastColumn="0" w:oddVBand="0" w:evenVBand="0" w:oddHBand="1" w:evenHBand="0" w:firstRowFirstColumn="0" w:firstRowLastColumn="0" w:lastRowFirstColumn="0" w:lastRowLastColumn="0"/>
          <w:trHeight w:val="682"/>
        </w:trPr>
        <w:tc>
          <w:tcPr>
            <w:tcW w:w="4644" w:type="dxa"/>
            <w:tcBorders>
              <w:right w:val="single" w:sz="4" w:space="0" w:color="4F81BD" w:themeColor="accent1"/>
            </w:tcBorders>
            <w:hideMark/>
          </w:tcPr>
          <w:p w:rsidR="005F13B5" w:rsidRPr="002D082F" w:rsidRDefault="002D082F" w:rsidP="002D082F">
            <w:pPr>
              <w:rPr>
                <w:rFonts w:ascii="Calibri" w:hAnsi="Calibri"/>
              </w:rPr>
            </w:pPr>
            <w:r w:rsidRPr="002D082F">
              <w:rPr>
                <w:rFonts w:ascii="Calibri" w:hAnsi="Calibri"/>
              </w:rPr>
              <w:t>Includes counseling to support in achieving the individual’s education and career goals</w:t>
            </w:r>
          </w:p>
        </w:tc>
        <w:tc>
          <w:tcPr>
            <w:tcW w:w="4950" w:type="dxa"/>
            <w:tcBorders>
              <w:top w:val="nil"/>
              <w:left w:val="single" w:sz="4" w:space="0" w:color="4F81BD" w:themeColor="accent1"/>
              <w:bottom w:val="nil"/>
            </w:tcBorders>
            <w:hideMark/>
          </w:tcPr>
          <w:p w:rsidR="005F13B5" w:rsidRPr="002D082F" w:rsidRDefault="002D082F" w:rsidP="002D082F">
            <w:pPr>
              <w:rPr>
                <w:rFonts w:ascii="Calibri" w:hAnsi="Calibri"/>
              </w:rPr>
            </w:pPr>
            <w:r w:rsidRPr="002D082F">
              <w:rPr>
                <w:rFonts w:ascii="Calibri" w:hAnsi="Calibri"/>
              </w:rPr>
              <w:t>Helps an individual enter or advance within a specific occupation or occupational cluster</w:t>
            </w:r>
          </w:p>
        </w:tc>
      </w:tr>
      <w:tr w:rsidR="002D082F" w:rsidRPr="002D082F" w:rsidTr="00190AFA">
        <w:trPr>
          <w:trHeight w:val="655"/>
        </w:trPr>
        <w:tc>
          <w:tcPr>
            <w:tcW w:w="4644" w:type="dxa"/>
            <w:tcBorders>
              <w:right w:val="single" w:sz="4" w:space="0" w:color="4F81BD" w:themeColor="accent1"/>
            </w:tcBorders>
            <w:hideMark/>
          </w:tcPr>
          <w:p w:rsidR="005F13B5" w:rsidRPr="002D082F" w:rsidRDefault="002D082F" w:rsidP="002D082F">
            <w:pPr>
              <w:rPr>
                <w:rFonts w:ascii="Calibri" w:hAnsi="Calibri"/>
              </w:rPr>
            </w:pPr>
            <w:r w:rsidRPr="002D082F">
              <w:rPr>
                <w:rFonts w:ascii="Calibri" w:hAnsi="Calibri"/>
              </w:rPr>
              <w:t>Includes education offered concurrently with workforce preparation activities and training for a specific occupation or occupational cluster</w:t>
            </w:r>
          </w:p>
        </w:tc>
        <w:tc>
          <w:tcPr>
            <w:tcW w:w="4950" w:type="dxa"/>
            <w:tcBorders>
              <w:top w:val="nil"/>
              <w:left w:val="single" w:sz="4" w:space="0" w:color="4F81BD" w:themeColor="accent1"/>
              <w:bottom w:val="single" w:sz="18" w:space="0" w:color="auto"/>
            </w:tcBorders>
            <w:hideMark/>
          </w:tcPr>
          <w:p w:rsidR="002D082F" w:rsidRPr="002D082F" w:rsidRDefault="002D082F" w:rsidP="002D082F">
            <w:pPr>
              <w:rPr>
                <w:rFonts w:ascii="Calibri" w:hAnsi="Calibri"/>
              </w:rPr>
            </w:pPr>
          </w:p>
        </w:tc>
      </w:tr>
    </w:tbl>
    <w:p w:rsidR="00596867" w:rsidRDefault="00596867" w:rsidP="00596867">
      <w:pPr>
        <w:spacing w:before="0" w:after="0" w:line="240" w:lineRule="auto"/>
        <w:rPr>
          <w:rFonts w:ascii="Calibri" w:hAnsi="Calibri"/>
        </w:rPr>
      </w:pPr>
    </w:p>
    <w:p w:rsidR="00F20BF6" w:rsidRPr="00F57D00" w:rsidRDefault="00F20BF6" w:rsidP="00FB5F2F">
      <w:pPr>
        <w:pStyle w:val="Heading4"/>
        <w:rPr>
          <w:color w:val="632423" w:themeColor="accent2" w:themeShade="80"/>
        </w:rPr>
      </w:pPr>
      <w:r w:rsidRPr="00F57D00">
        <w:rPr>
          <w:color w:val="632423" w:themeColor="accent2" w:themeShade="80"/>
        </w:rPr>
        <w:t xml:space="preserve">Title </w:t>
      </w:r>
      <w:r w:rsidR="00BD6646" w:rsidRPr="00F57D00">
        <w:rPr>
          <w:color w:val="632423" w:themeColor="accent2" w:themeShade="80"/>
        </w:rPr>
        <w:t>I</w:t>
      </w:r>
      <w:r w:rsidR="00190AFA" w:rsidRPr="00F57D00">
        <w:rPr>
          <w:color w:val="632423" w:themeColor="accent2" w:themeShade="80"/>
        </w:rPr>
        <w:t>-A</w:t>
      </w:r>
      <w:r w:rsidRPr="00F57D00">
        <w:rPr>
          <w:color w:val="632423" w:themeColor="accent2" w:themeShade="80"/>
        </w:rPr>
        <w:t xml:space="preserve">: System </w:t>
      </w:r>
      <w:r w:rsidR="00BD6646" w:rsidRPr="00F57D00">
        <w:rPr>
          <w:color w:val="632423" w:themeColor="accent2" w:themeShade="80"/>
        </w:rPr>
        <w:t>A</w:t>
      </w:r>
      <w:r w:rsidRPr="00F57D00">
        <w:rPr>
          <w:color w:val="632423" w:themeColor="accent2" w:themeShade="80"/>
        </w:rPr>
        <w:t xml:space="preserve">lignment and </w:t>
      </w:r>
      <w:r w:rsidR="00BD6646" w:rsidRPr="00F57D00">
        <w:rPr>
          <w:color w:val="632423" w:themeColor="accent2" w:themeShade="80"/>
        </w:rPr>
        <w:t>U</w:t>
      </w:r>
      <w:r w:rsidRPr="00F57D00">
        <w:rPr>
          <w:color w:val="632423" w:themeColor="accent2" w:themeShade="80"/>
        </w:rPr>
        <w:t xml:space="preserve">nified </w:t>
      </w:r>
      <w:r w:rsidR="00BD6646" w:rsidRPr="00F57D00">
        <w:rPr>
          <w:color w:val="632423" w:themeColor="accent2" w:themeShade="80"/>
        </w:rPr>
        <w:t>P</w:t>
      </w:r>
      <w:r w:rsidRPr="00F57D00">
        <w:rPr>
          <w:color w:val="632423" w:themeColor="accent2" w:themeShade="80"/>
        </w:rPr>
        <w:t>lans</w:t>
      </w:r>
    </w:p>
    <w:p w:rsidR="00F20BF6" w:rsidRPr="00027DD2" w:rsidRDefault="00F20BF6" w:rsidP="00F20BF6">
      <w:pPr>
        <w:spacing w:before="0" w:after="0"/>
        <w:rPr>
          <w:rFonts w:ascii="Calibri" w:hAnsi="Calibri"/>
        </w:rPr>
      </w:pPr>
      <w:r w:rsidRPr="00027DD2">
        <w:rPr>
          <w:rFonts w:ascii="Calibri" w:hAnsi="Calibri"/>
        </w:rPr>
        <w:t xml:space="preserve">States </w:t>
      </w:r>
      <w:r w:rsidR="00BD6646">
        <w:rPr>
          <w:rFonts w:ascii="Calibri" w:hAnsi="Calibri"/>
        </w:rPr>
        <w:t xml:space="preserve">are </w:t>
      </w:r>
      <w:r w:rsidRPr="00027DD2">
        <w:rPr>
          <w:rFonts w:ascii="Calibri" w:hAnsi="Calibri"/>
        </w:rPr>
        <w:t>required to submit a single, strategic, coordinated plan</w:t>
      </w:r>
    </w:p>
    <w:tbl>
      <w:tblPr>
        <w:tblStyle w:val="MediumShading2-Accent2"/>
        <w:tblW w:w="9594" w:type="dxa"/>
        <w:tblLook w:val="0420" w:firstRow="1" w:lastRow="0" w:firstColumn="0" w:lastColumn="0" w:noHBand="0" w:noVBand="1"/>
      </w:tblPr>
      <w:tblGrid>
        <w:gridCol w:w="4284"/>
        <w:gridCol w:w="5310"/>
      </w:tblGrid>
      <w:tr w:rsidR="00FB5F2F" w:rsidRPr="00FB5F2F" w:rsidTr="00F57D00">
        <w:trPr>
          <w:cnfStyle w:val="100000000000" w:firstRow="1" w:lastRow="0" w:firstColumn="0" w:lastColumn="0" w:oddVBand="0" w:evenVBand="0" w:oddHBand="0" w:evenHBand="0" w:firstRowFirstColumn="0" w:firstRowLastColumn="0" w:lastRowFirstColumn="0" w:lastRowLastColumn="0"/>
          <w:trHeight w:val="268"/>
          <w:tblHeader/>
        </w:trPr>
        <w:tc>
          <w:tcPr>
            <w:tcW w:w="9594" w:type="dxa"/>
            <w:gridSpan w:val="2"/>
            <w:shd w:val="clear" w:color="auto" w:fill="244061" w:themeFill="accent1" w:themeFillShade="80"/>
            <w:hideMark/>
          </w:tcPr>
          <w:p w:rsidR="005F13B5" w:rsidRPr="00FB5F2F" w:rsidRDefault="00FB5F2F" w:rsidP="00FB5F2F">
            <w:pPr>
              <w:spacing w:line="276" w:lineRule="auto"/>
              <w:rPr>
                <w:rFonts w:ascii="Calibri" w:hAnsi="Calibri"/>
              </w:rPr>
            </w:pPr>
            <w:r w:rsidRPr="00FB5F2F">
              <w:rPr>
                <w:rFonts w:ascii="Calibri" w:hAnsi="Calibri"/>
              </w:rPr>
              <w:t>Changes in State Plan Requirements</w:t>
            </w:r>
          </w:p>
        </w:tc>
      </w:tr>
      <w:tr w:rsidR="00FB5F2F" w:rsidRPr="00FB5F2F" w:rsidTr="00190AFA">
        <w:trPr>
          <w:cnfStyle w:val="000000100000" w:firstRow="0" w:lastRow="0" w:firstColumn="0" w:lastColumn="0" w:oddVBand="0" w:evenVBand="0" w:oddHBand="1" w:evenHBand="0" w:firstRowFirstColumn="0" w:firstRowLastColumn="0" w:lastRowFirstColumn="0" w:lastRowLastColumn="0"/>
          <w:trHeight w:val="318"/>
        </w:trPr>
        <w:tc>
          <w:tcPr>
            <w:tcW w:w="4284" w:type="dxa"/>
            <w:tcBorders>
              <w:top w:val="nil"/>
              <w:bottom w:val="nil"/>
              <w:righ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b/>
                <w:bCs/>
              </w:rPr>
              <w:t>WIA</w:t>
            </w:r>
          </w:p>
        </w:tc>
        <w:tc>
          <w:tcPr>
            <w:tcW w:w="5310" w:type="dxa"/>
            <w:tcBorders>
              <w:lef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b/>
                <w:bCs/>
              </w:rPr>
              <w:t>WIOA</w:t>
            </w:r>
          </w:p>
        </w:tc>
      </w:tr>
      <w:tr w:rsidR="00FB5F2F" w:rsidRPr="00FB5F2F" w:rsidTr="00190AFA">
        <w:trPr>
          <w:trHeight w:val="232"/>
        </w:trPr>
        <w:tc>
          <w:tcPr>
            <w:tcW w:w="4284" w:type="dxa"/>
            <w:tcBorders>
              <w:top w:val="nil"/>
              <w:bottom w:val="nil"/>
              <w:righ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5-year State plan</w:t>
            </w:r>
          </w:p>
        </w:tc>
        <w:tc>
          <w:tcPr>
            <w:tcW w:w="5310" w:type="dxa"/>
            <w:tcBorders>
              <w:lef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4-year State plan</w:t>
            </w:r>
          </w:p>
        </w:tc>
      </w:tr>
      <w:tr w:rsidR="00FB5F2F" w:rsidRPr="00FB5F2F" w:rsidTr="00190AFA">
        <w:trPr>
          <w:cnfStyle w:val="000000100000" w:firstRow="0" w:lastRow="0" w:firstColumn="0" w:lastColumn="0" w:oddVBand="0" w:evenVBand="0" w:oddHBand="1" w:evenHBand="0" w:firstRowFirstColumn="0" w:firstRowLastColumn="0" w:lastRowFirstColumn="0" w:lastRowLastColumn="0"/>
          <w:trHeight w:val="322"/>
        </w:trPr>
        <w:tc>
          <w:tcPr>
            <w:tcW w:w="4284" w:type="dxa"/>
            <w:tcBorders>
              <w:top w:val="nil"/>
              <w:bottom w:val="nil"/>
              <w:righ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 xml:space="preserve">Unified State Plans </w:t>
            </w:r>
            <w:r w:rsidRPr="00FB5F2F">
              <w:rPr>
                <w:rFonts w:ascii="Calibri" w:hAnsi="Calibri"/>
                <w:i/>
                <w:iCs/>
                <w:u w:val="single"/>
              </w:rPr>
              <w:t>optional</w:t>
            </w:r>
          </w:p>
        </w:tc>
        <w:tc>
          <w:tcPr>
            <w:tcW w:w="5310" w:type="dxa"/>
            <w:tcBorders>
              <w:lef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 xml:space="preserve">Unified State Plans </w:t>
            </w:r>
            <w:r w:rsidRPr="00FB5F2F">
              <w:rPr>
                <w:rFonts w:ascii="Calibri" w:hAnsi="Calibri"/>
                <w:i/>
                <w:iCs/>
                <w:u w:val="single"/>
              </w:rPr>
              <w:t>required</w:t>
            </w:r>
          </w:p>
        </w:tc>
      </w:tr>
      <w:tr w:rsidR="00FB5F2F" w:rsidRPr="00FB5F2F" w:rsidTr="00190AFA">
        <w:trPr>
          <w:trHeight w:val="322"/>
        </w:trPr>
        <w:tc>
          <w:tcPr>
            <w:tcW w:w="4284" w:type="dxa"/>
            <w:tcBorders>
              <w:top w:val="nil"/>
              <w:bottom w:val="nil"/>
              <w:righ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Strategic  planning elements</w:t>
            </w:r>
          </w:p>
        </w:tc>
        <w:tc>
          <w:tcPr>
            <w:tcW w:w="5310" w:type="dxa"/>
            <w:tcBorders>
              <w:lef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 xml:space="preserve">Strategic </w:t>
            </w:r>
            <w:r w:rsidRPr="00FB5F2F">
              <w:rPr>
                <w:rFonts w:ascii="Calibri" w:hAnsi="Calibri"/>
                <w:u w:val="single"/>
              </w:rPr>
              <w:t>and</w:t>
            </w:r>
            <w:r w:rsidRPr="00FB5F2F">
              <w:rPr>
                <w:rFonts w:ascii="Calibri" w:hAnsi="Calibri"/>
              </w:rPr>
              <w:t xml:space="preserve"> operational planning elements </w:t>
            </w:r>
          </w:p>
        </w:tc>
      </w:tr>
      <w:tr w:rsidR="00FB5F2F" w:rsidRPr="00FB5F2F" w:rsidTr="00190AFA">
        <w:trPr>
          <w:cnfStyle w:val="000000100000" w:firstRow="0" w:lastRow="0" w:firstColumn="0" w:lastColumn="0" w:oddVBand="0" w:evenVBand="0" w:oddHBand="1" w:evenHBand="0" w:firstRowFirstColumn="0" w:firstRowLastColumn="0" w:lastRowFirstColumn="0" w:lastRowLastColumn="0"/>
          <w:trHeight w:val="205"/>
        </w:trPr>
        <w:tc>
          <w:tcPr>
            <w:tcW w:w="4284" w:type="dxa"/>
            <w:tcBorders>
              <w:top w:val="nil"/>
              <w:bottom w:val="single" w:sz="18" w:space="0" w:color="auto"/>
              <w:righ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Plan submitted to ED Secretary</w:t>
            </w:r>
          </w:p>
        </w:tc>
        <w:tc>
          <w:tcPr>
            <w:tcW w:w="5310" w:type="dxa"/>
            <w:tcBorders>
              <w:left w:val="single" w:sz="4" w:space="0" w:color="4F81BD" w:themeColor="accent1"/>
            </w:tcBorders>
            <w:hideMark/>
          </w:tcPr>
          <w:p w:rsidR="005F13B5" w:rsidRPr="00FB5F2F" w:rsidRDefault="00FB5F2F" w:rsidP="00FB5F2F">
            <w:pPr>
              <w:spacing w:line="276" w:lineRule="auto"/>
              <w:rPr>
                <w:rFonts w:ascii="Calibri" w:hAnsi="Calibri"/>
              </w:rPr>
            </w:pPr>
            <w:r w:rsidRPr="00FB5F2F">
              <w:rPr>
                <w:rFonts w:ascii="Calibri" w:hAnsi="Calibri"/>
              </w:rPr>
              <w:t>Submitted to DOL Secretary, joint approval with ED</w:t>
            </w:r>
          </w:p>
        </w:tc>
      </w:tr>
    </w:tbl>
    <w:p w:rsidR="00F20BF6" w:rsidRDefault="00F20BF6" w:rsidP="00F20BF6">
      <w:pPr>
        <w:spacing w:before="0" w:after="0"/>
        <w:rPr>
          <w:rFonts w:ascii="Calibri" w:hAnsi="Calibri"/>
        </w:rPr>
      </w:pPr>
      <w:r w:rsidRPr="00027DD2">
        <w:rPr>
          <w:rFonts w:ascii="Calibri" w:hAnsi="Calibri"/>
        </w:rPr>
        <w:t xml:space="preserve"> </w:t>
      </w:r>
    </w:p>
    <w:p w:rsidR="00F20BF6" w:rsidRPr="00F57D00" w:rsidRDefault="00F20BF6" w:rsidP="008150EA">
      <w:pPr>
        <w:pStyle w:val="Heading4"/>
        <w:rPr>
          <w:color w:val="632423" w:themeColor="accent2" w:themeShade="80"/>
        </w:rPr>
      </w:pPr>
      <w:r w:rsidRPr="00F57D00">
        <w:rPr>
          <w:color w:val="632423" w:themeColor="accent2" w:themeShade="80"/>
        </w:rPr>
        <w:t>Program-specific plan elements</w:t>
      </w:r>
    </w:p>
    <w:p w:rsidR="008150EA" w:rsidRDefault="008150EA" w:rsidP="008150EA">
      <w:pPr>
        <w:spacing w:before="0" w:after="0" w:line="240" w:lineRule="auto"/>
        <w:rPr>
          <w:rFonts w:ascii="Calibri" w:hAnsi="Calibri"/>
        </w:rPr>
      </w:pPr>
      <w:r w:rsidRPr="008150EA">
        <w:rPr>
          <w:rFonts w:ascii="Calibri" w:hAnsi="Calibri"/>
          <w:noProof/>
        </w:rPr>
        <w:drawing>
          <wp:inline distT="0" distB="0" distL="0" distR="0" wp14:anchorId="7E517A59" wp14:editId="16CF9F2C">
            <wp:extent cx="5943600" cy="1952625"/>
            <wp:effectExtent l="57150" t="19050" r="95250" b="666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F7CD2" w:rsidRDefault="00AF7CD2" w:rsidP="00AF7CD2">
      <w:pPr>
        <w:spacing w:before="0" w:after="0" w:line="240" w:lineRule="auto"/>
        <w:rPr>
          <w:rFonts w:ascii="Calibri" w:hAnsi="Calibri"/>
        </w:rPr>
      </w:pPr>
    </w:p>
    <w:p w:rsidR="00F20BF6" w:rsidRPr="00F57D00" w:rsidRDefault="00F20BF6" w:rsidP="00AF7CD2">
      <w:pPr>
        <w:pStyle w:val="Heading4"/>
        <w:rPr>
          <w:color w:val="632423" w:themeColor="accent2" w:themeShade="80"/>
        </w:rPr>
      </w:pPr>
      <w:r w:rsidRPr="00F57D00">
        <w:rPr>
          <w:color w:val="632423" w:themeColor="accent2" w:themeShade="80"/>
        </w:rPr>
        <w:t xml:space="preserve">State </w:t>
      </w:r>
      <w:r w:rsidR="00AF7CD2" w:rsidRPr="00F57D00">
        <w:rPr>
          <w:color w:val="632423" w:themeColor="accent2" w:themeShade="80"/>
        </w:rPr>
        <w:t>P</w:t>
      </w:r>
      <w:r w:rsidRPr="00F57D00">
        <w:rPr>
          <w:color w:val="632423" w:themeColor="accent2" w:themeShade="80"/>
        </w:rPr>
        <w:t xml:space="preserve">lan </w:t>
      </w:r>
      <w:r w:rsidR="00AF7CD2" w:rsidRPr="00F57D00">
        <w:rPr>
          <w:color w:val="632423" w:themeColor="accent2" w:themeShade="80"/>
        </w:rPr>
        <w:t>A</w:t>
      </w:r>
      <w:r w:rsidRPr="00F57D00">
        <w:rPr>
          <w:color w:val="632423" w:themeColor="accent2" w:themeShade="80"/>
        </w:rPr>
        <w:t>pprovals</w:t>
      </w:r>
    </w:p>
    <w:p w:rsidR="00AF7CD2" w:rsidRDefault="00AF7CD2" w:rsidP="00AF7CD2">
      <w:pPr>
        <w:spacing w:before="0" w:after="0" w:line="240" w:lineRule="auto"/>
        <w:rPr>
          <w:rFonts w:ascii="Calibri" w:hAnsi="Calibri"/>
        </w:rPr>
      </w:pPr>
      <w:r>
        <w:rPr>
          <w:rFonts w:ascii="Calibri" w:hAnsi="Calibri"/>
        </w:rPr>
        <w:t>Submission Dates</w:t>
      </w:r>
    </w:p>
    <w:p w:rsidR="005F13B5" w:rsidRPr="00AF7CD2" w:rsidRDefault="005F13B5" w:rsidP="00BE659C">
      <w:pPr>
        <w:numPr>
          <w:ilvl w:val="0"/>
          <w:numId w:val="32"/>
        </w:numPr>
        <w:spacing w:before="0" w:after="0" w:line="240" w:lineRule="auto"/>
        <w:rPr>
          <w:rFonts w:ascii="Calibri" w:hAnsi="Calibri"/>
        </w:rPr>
      </w:pPr>
      <w:r w:rsidRPr="00AF7CD2">
        <w:rPr>
          <w:rFonts w:ascii="Calibri" w:hAnsi="Calibri"/>
        </w:rPr>
        <w:t>Plans submitted March 2016</w:t>
      </w:r>
    </w:p>
    <w:p w:rsidR="005F13B5" w:rsidRPr="00AF7CD2" w:rsidRDefault="005F13B5" w:rsidP="00BE659C">
      <w:pPr>
        <w:numPr>
          <w:ilvl w:val="0"/>
          <w:numId w:val="32"/>
        </w:numPr>
        <w:spacing w:before="0" w:after="0" w:line="240" w:lineRule="auto"/>
        <w:rPr>
          <w:rFonts w:ascii="Calibri" w:hAnsi="Calibri"/>
        </w:rPr>
      </w:pPr>
      <w:r w:rsidRPr="00AF7CD2">
        <w:rPr>
          <w:rFonts w:ascii="Calibri" w:hAnsi="Calibri"/>
        </w:rPr>
        <w:t>May be modified at end of first 2-year period</w:t>
      </w:r>
    </w:p>
    <w:p w:rsidR="00AF7CD2" w:rsidRPr="00AF7CD2" w:rsidRDefault="005F13B5" w:rsidP="00BE659C">
      <w:pPr>
        <w:numPr>
          <w:ilvl w:val="0"/>
          <w:numId w:val="32"/>
        </w:numPr>
        <w:spacing w:before="0" w:after="0" w:line="240" w:lineRule="auto"/>
        <w:rPr>
          <w:rFonts w:ascii="Calibri" w:hAnsi="Calibri"/>
        </w:rPr>
      </w:pPr>
      <w:r w:rsidRPr="00AF7CD2">
        <w:rPr>
          <w:rFonts w:ascii="Calibri" w:hAnsi="Calibri"/>
        </w:rPr>
        <w:t>Subsequent plans submitted 120 days prior to end of 4-year period</w:t>
      </w:r>
    </w:p>
    <w:p w:rsidR="00F20BF6" w:rsidRPr="00F57D00" w:rsidRDefault="00F20BF6" w:rsidP="00AF7CD2">
      <w:pPr>
        <w:pStyle w:val="Heading4"/>
        <w:rPr>
          <w:color w:val="632423" w:themeColor="accent2" w:themeShade="80"/>
        </w:rPr>
      </w:pPr>
      <w:r w:rsidRPr="00F57D00">
        <w:rPr>
          <w:color w:val="632423" w:themeColor="accent2" w:themeShade="80"/>
        </w:rPr>
        <w:t xml:space="preserve">Combined </w:t>
      </w:r>
      <w:r w:rsidR="00AF7CD2" w:rsidRPr="00F57D00">
        <w:rPr>
          <w:color w:val="632423" w:themeColor="accent2" w:themeShade="80"/>
        </w:rPr>
        <w:t>S</w:t>
      </w:r>
      <w:r w:rsidRPr="00F57D00">
        <w:rPr>
          <w:color w:val="632423" w:themeColor="accent2" w:themeShade="80"/>
        </w:rPr>
        <w:t xml:space="preserve">tate </w:t>
      </w:r>
      <w:r w:rsidR="00AF7CD2" w:rsidRPr="00F57D00">
        <w:rPr>
          <w:color w:val="632423" w:themeColor="accent2" w:themeShade="80"/>
        </w:rPr>
        <w:t>P</w:t>
      </w:r>
      <w:r w:rsidRPr="00F57D00">
        <w:rPr>
          <w:color w:val="632423" w:themeColor="accent2" w:themeShade="80"/>
        </w:rPr>
        <w:t>lans</w:t>
      </w:r>
    </w:p>
    <w:p w:rsidR="00AF7CD2" w:rsidRDefault="00AF7CD2" w:rsidP="00F20BF6">
      <w:pPr>
        <w:numPr>
          <w:ilvl w:val="0"/>
          <w:numId w:val="22"/>
        </w:numPr>
        <w:spacing w:before="0" w:after="0" w:line="240" w:lineRule="auto"/>
        <w:rPr>
          <w:rFonts w:ascii="Calibri" w:hAnsi="Calibri"/>
        </w:rPr>
      </w:pPr>
      <w:r>
        <w:rPr>
          <w:rFonts w:ascii="Calibri" w:hAnsi="Calibri"/>
        </w:rPr>
        <w:t>More comprehensive version of a unified plan</w:t>
      </w:r>
    </w:p>
    <w:p w:rsidR="00F20BF6" w:rsidRPr="00027DD2" w:rsidRDefault="00AF7CD2" w:rsidP="00F20BF6">
      <w:pPr>
        <w:numPr>
          <w:ilvl w:val="0"/>
          <w:numId w:val="22"/>
        </w:numPr>
        <w:spacing w:before="0" w:after="0" w:line="240" w:lineRule="auto"/>
        <w:rPr>
          <w:rFonts w:ascii="Calibri" w:hAnsi="Calibri"/>
        </w:rPr>
      </w:pPr>
      <w:r>
        <w:rPr>
          <w:rFonts w:ascii="Calibri" w:hAnsi="Calibri"/>
        </w:rPr>
        <w:lastRenderedPageBreak/>
        <w:t>I</w:t>
      </w:r>
      <w:r w:rsidR="00F20BF6" w:rsidRPr="00027DD2">
        <w:rPr>
          <w:rFonts w:ascii="Calibri" w:hAnsi="Calibri"/>
        </w:rPr>
        <w:t>ncorporates other key partners (including Perkins, TANF</w:t>
      </w:r>
      <w:r>
        <w:rPr>
          <w:rFonts w:ascii="Calibri" w:hAnsi="Calibri"/>
        </w:rPr>
        <w:t>, libraries, etc.</w:t>
      </w:r>
      <w:r w:rsidR="00F20BF6" w:rsidRPr="00027DD2">
        <w:rPr>
          <w:rFonts w:ascii="Calibri" w:hAnsi="Calibri"/>
        </w:rPr>
        <w:t>)</w:t>
      </w:r>
    </w:p>
    <w:p w:rsidR="00F20BF6" w:rsidRPr="00027DD2" w:rsidRDefault="00AF7CD2" w:rsidP="00F20BF6">
      <w:pPr>
        <w:numPr>
          <w:ilvl w:val="0"/>
          <w:numId w:val="22"/>
        </w:numPr>
        <w:spacing w:before="0" w:after="0" w:line="240" w:lineRule="auto"/>
        <w:rPr>
          <w:rFonts w:ascii="Calibri" w:hAnsi="Calibri"/>
        </w:rPr>
      </w:pPr>
      <w:r>
        <w:rPr>
          <w:rFonts w:ascii="Calibri" w:hAnsi="Calibri"/>
        </w:rPr>
        <w:t xml:space="preserve">Combined State </w:t>
      </w:r>
      <w:r w:rsidR="00F20BF6" w:rsidRPr="00027DD2">
        <w:rPr>
          <w:rFonts w:ascii="Calibri" w:hAnsi="Calibri"/>
        </w:rPr>
        <w:t>Plans must include:</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 xml:space="preserve"> Strategy for joint planning and coordination</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 xml:space="preserve"> Assurance allowing core programs to review plan</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Plan approval within 90 days (or 120 days if 3 or more Secretaries)</w:t>
      </w:r>
    </w:p>
    <w:p w:rsidR="00AF7CD2" w:rsidRPr="00AF7CD2" w:rsidRDefault="00F20BF6" w:rsidP="00AF7CD2">
      <w:pPr>
        <w:numPr>
          <w:ilvl w:val="0"/>
          <w:numId w:val="22"/>
        </w:numPr>
        <w:spacing w:before="0" w:after="0" w:line="240" w:lineRule="auto"/>
        <w:rPr>
          <w:rFonts w:ascii="Calibri" w:hAnsi="Calibri"/>
        </w:rPr>
      </w:pPr>
      <w:r w:rsidRPr="00027DD2">
        <w:rPr>
          <w:rFonts w:ascii="Calibri" w:hAnsi="Calibri"/>
        </w:rPr>
        <w:t>Special rule for CTE regarding performance</w:t>
      </w:r>
    </w:p>
    <w:p w:rsidR="00F20BF6" w:rsidRPr="00F57D00" w:rsidRDefault="00AF7CD2" w:rsidP="00AF7CD2">
      <w:pPr>
        <w:pStyle w:val="Heading4"/>
        <w:rPr>
          <w:color w:val="632423" w:themeColor="accent2" w:themeShade="80"/>
        </w:rPr>
      </w:pPr>
      <w:r w:rsidRPr="00F57D00">
        <w:rPr>
          <w:color w:val="632423" w:themeColor="accent2" w:themeShade="80"/>
        </w:rPr>
        <w:t>State Workforce</w:t>
      </w:r>
      <w:r w:rsidR="00F20BF6" w:rsidRPr="00F57D00">
        <w:rPr>
          <w:color w:val="632423" w:themeColor="accent2" w:themeShade="80"/>
        </w:rPr>
        <w:t xml:space="preserve"> </w:t>
      </w:r>
      <w:r w:rsidRPr="00F57D00">
        <w:rPr>
          <w:color w:val="632423" w:themeColor="accent2" w:themeShade="80"/>
        </w:rPr>
        <w:t>B</w:t>
      </w:r>
      <w:r w:rsidR="00F20BF6" w:rsidRPr="00F57D00">
        <w:rPr>
          <w:color w:val="632423" w:themeColor="accent2" w:themeShade="80"/>
        </w:rPr>
        <w:t>oards</w:t>
      </w:r>
    </w:p>
    <w:p w:rsidR="00F20BF6" w:rsidRPr="00027DD2" w:rsidRDefault="00F20BF6" w:rsidP="00AF7CD2">
      <w:pPr>
        <w:spacing w:before="0" w:after="0" w:line="240" w:lineRule="auto"/>
        <w:rPr>
          <w:rFonts w:ascii="Calibri" w:hAnsi="Calibri"/>
        </w:rPr>
      </w:pPr>
      <w:r w:rsidRPr="00027DD2">
        <w:rPr>
          <w:rFonts w:ascii="Calibri" w:hAnsi="Calibri"/>
          <w:b/>
          <w:bCs/>
        </w:rPr>
        <w:t>Streamlined Membership</w:t>
      </w:r>
    </w:p>
    <w:p w:rsidR="00F20BF6" w:rsidRPr="00027DD2" w:rsidRDefault="00F20BF6" w:rsidP="00AF7CD2">
      <w:pPr>
        <w:numPr>
          <w:ilvl w:val="0"/>
          <w:numId w:val="22"/>
        </w:numPr>
        <w:spacing w:before="0" w:after="0" w:line="240" w:lineRule="auto"/>
        <w:rPr>
          <w:rFonts w:ascii="Calibri" w:hAnsi="Calibri"/>
        </w:rPr>
      </w:pPr>
      <w:r w:rsidRPr="00027DD2">
        <w:rPr>
          <w:rFonts w:ascii="Calibri" w:hAnsi="Calibri"/>
        </w:rPr>
        <w:t>Reduces size of State Workforce Development Boards</w:t>
      </w:r>
    </w:p>
    <w:p w:rsidR="00F20BF6" w:rsidRPr="00027DD2" w:rsidRDefault="00F20BF6" w:rsidP="00AF7CD2">
      <w:pPr>
        <w:numPr>
          <w:ilvl w:val="0"/>
          <w:numId w:val="22"/>
        </w:numPr>
        <w:spacing w:before="0" w:after="0" w:line="240" w:lineRule="auto"/>
        <w:rPr>
          <w:rFonts w:ascii="Calibri" w:hAnsi="Calibri"/>
        </w:rPr>
      </w:pPr>
      <w:r w:rsidRPr="00027DD2">
        <w:rPr>
          <w:rFonts w:ascii="Calibri" w:hAnsi="Calibri"/>
        </w:rPr>
        <w:t>Includes business majority, labor organizations, apprenticeship (new), organizations serving individuals with barriers to employment</w:t>
      </w:r>
    </w:p>
    <w:p w:rsidR="00F20BF6" w:rsidRPr="00027DD2" w:rsidRDefault="00F20BF6" w:rsidP="00AF7CD2">
      <w:pPr>
        <w:numPr>
          <w:ilvl w:val="0"/>
          <w:numId w:val="22"/>
        </w:numPr>
        <w:spacing w:before="0" w:after="0" w:line="240" w:lineRule="auto"/>
        <w:rPr>
          <w:rFonts w:ascii="Calibri" w:hAnsi="Calibri"/>
        </w:rPr>
      </w:pPr>
      <w:r w:rsidRPr="00027DD2">
        <w:rPr>
          <w:rFonts w:ascii="Calibri" w:hAnsi="Calibri"/>
        </w:rPr>
        <w:t>Includes the lead State official with the responsibility for the core programs</w:t>
      </w:r>
    </w:p>
    <w:p w:rsidR="00F20BF6" w:rsidRPr="00027DD2" w:rsidRDefault="00F20BF6" w:rsidP="00AF7CD2">
      <w:pPr>
        <w:numPr>
          <w:ilvl w:val="0"/>
          <w:numId w:val="22"/>
        </w:numPr>
        <w:spacing w:before="0" w:after="0" w:line="240" w:lineRule="auto"/>
        <w:rPr>
          <w:rFonts w:ascii="Calibri" w:hAnsi="Calibri"/>
        </w:rPr>
      </w:pPr>
      <w:r w:rsidRPr="00027DD2">
        <w:rPr>
          <w:rFonts w:ascii="Calibri" w:hAnsi="Calibri"/>
        </w:rPr>
        <w:t>No representation in multiple categories</w:t>
      </w:r>
    </w:p>
    <w:p w:rsidR="00F20BF6" w:rsidRPr="00AF7CD2" w:rsidRDefault="00AF7CD2" w:rsidP="00AF7CD2">
      <w:pPr>
        <w:spacing w:before="0" w:after="0" w:line="240" w:lineRule="auto"/>
        <w:rPr>
          <w:rFonts w:ascii="Calibri" w:hAnsi="Calibri"/>
          <w:b/>
        </w:rPr>
      </w:pPr>
      <w:r w:rsidRPr="00AF7CD2">
        <w:rPr>
          <w:rFonts w:ascii="Calibri" w:hAnsi="Calibri"/>
          <w:b/>
        </w:rPr>
        <w:t>Functions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Develop and implement State Plan</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 xml:space="preserve">Align core programs and develop and improve of workforce system </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Develop career pathways</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Develop and implement one-stops</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Identify regions and local areas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Establish State performance measures and targets to assess effectiveness of core programs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Develop policies to coordinate services</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Criteria and procedures for local board to use in assessing core programs</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Guidance on infrastructure costs</w:t>
      </w:r>
    </w:p>
    <w:p w:rsidR="00F20BF6" w:rsidRPr="00027DD2" w:rsidRDefault="00F20BF6" w:rsidP="00F20BF6">
      <w:pPr>
        <w:numPr>
          <w:ilvl w:val="1"/>
          <w:numId w:val="22"/>
        </w:numPr>
        <w:spacing w:before="0" w:after="0" w:line="240" w:lineRule="auto"/>
        <w:rPr>
          <w:rFonts w:ascii="Calibri" w:hAnsi="Calibri"/>
        </w:rPr>
      </w:pPr>
      <w:r w:rsidRPr="00027DD2">
        <w:rPr>
          <w:rFonts w:ascii="Calibri" w:hAnsi="Calibri"/>
        </w:rPr>
        <w:t>Defining role and contributions of one-stop partners, including equitable and efficient cost allocation</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Align technology and data systems across one-stop partners</w:t>
      </w:r>
    </w:p>
    <w:p w:rsidR="00F20BF6" w:rsidRPr="00AF7CD2" w:rsidRDefault="00F20BF6" w:rsidP="00F20BF6">
      <w:pPr>
        <w:numPr>
          <w:ilvl w:val="0"/>
          <w:numId w:val="22"/>
        </w:numPr>
        <w:spacing w:before="0" w:after="0" w:line="240" w:lineRule="auto"/>
        <w:rPr>
          <w:rFonts w:ascii="Calibri" w:hAnsi="Calibri"/>
        </w:rPr>
      </w:pPr>
      <w:r w:rsidRPr="00027DD2">
        <w:rPr>
          <w:rFonts w:ascii="Calibri" w:hAnsi="Calibri"/>
        </w:rPr>
        <w:t>Technological improvements for digital literacy, accelerating learning, accessibility, and professional development</w:t>
      </w:r>
    </w:p>
    <w:p w:rsidR="00F20BF6" w:rsidRPr="00F57D00" w:rsidRDefault="00F20BF6" w:rsidP="00AF7CD2">
      <w:pPr>
        <w:pStyle w:val="Heading4"/>
        <w:rPr>
          <w:color w:val="632423" w:themeColor="accent2" w:themeShade="80"/>
        </w:rPr>
      </w:pPr>
      <w:r w:rsidRPr="00F57D00">
        <w:rPr>
          <w:color w:val="632423" w:themeColor="accent2" w:themeShade="80"/>
        </w:rPr>
        <w:t>Additional title I alignment provisions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b/>
          <w:bCs/>
        </w:rPr>
        <w:t xml:space="preserve">Section 107 and 108 </w:t>
      </w:r>
      <w:r w:rsidRPr="00027DD2">
        <w:rPr>
          <w:rFonts w:ascii="Calibri" w:hAnsi="Calibri"/>
        </w:rPr>
        <w:t xml:space="preserve">– Expands </w:t>
      </w:r>
      <w:r w:rsidRPr="00027DD2">
        <w:rPr>
          <w:rFonts w:ascii="Calibri" w:hAnsi="Calibri"/>
          <w:b/>
          <w:bCs/>
        </w:rPr>
        <w:t>role and responsibilities of local workforce development boards</w:t>
      </w:r>
      <w:r w:rsidRPr="00027DD2">
        <w:rPr>
          <w:rFonts w:ascii="Calibri" w:hAnsi="Calibri"/>
        </w:rPr>
        <w:t xml:space="preserve">, including the development of local plan and alignment of AEFLA provider activities with the local plan. </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b/>
          <w:bCs/>
        </w:rPr>
        <w:t xml:space="preserve">Section 116 </w:t>
      </w:r>
      <w:r w:rsidRPr="00027DD2">
        <w:rPr>
          <w:rFonts w:ascii="Calibri" w:hAnsi="Calibri"/>
        </w:rPr>
        <w:t xml:space="preserve">– Replaces Section 212 of WIA.  Establishes </w:t>
      </w:r>
      <w:r w:rsidRPr="00027DD2">
        <w:rPr>
          <w:rFonts w:ascii="Calibri" w:hAnsi="Calibri"/>
          <w:b/>
          <w:bCs/>
        </w:rPr>
        <w:t xml:space="preserve">common performance accountability indicators </w:t>
      </w:r>
      <w:r w:rsidRPr="00027DD2">
        <w:rPr>
          <w:rFonts w:ascii="Calibri" w:hAnsi="Calibri"/>
        </w:rPr>
        <w:t>that apply across the four core programs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b/>
          <w:bCs/>
        </w:rPr>
        <w:t xml:space="preserve">Section 121 </w:t>
      </w:r>
      <w:r w:rsidRPr="00027DD2">
        <w:rPr>
          <w:rFonts w:ascii="Calibri" w:hAnsi="Calibri"/>
        </w:rPr>
        <w:t xml:space="preserve">– Strengthens the roles and </w:t>
      </w:r>
      <w:r w:rsidRPr="00027DD2">
        <w:rPr>
          <w:rFonts w:ascii="Calibri" w:hAnsi="Calibri"/>
          <w:b/>
          <w:bCs/>
        </w:rPr>
        <w:t>responsibilities of partner programs in the one-stop delivery system</w:t>
      </w:r>
      <w:r w:rsidRPr="00027DD2">
        <w:rPr>
          <w:rFonts w:ascii="Calibri" w:hAnsi="Calibri"/>
        </w:rPr>
        <w:t>, including contributions to infrastructure costs and access to partner activities</w:t>
      </w:r>
    </w:p>
    <w:p w:rsidR="00F20BF6" w:rsidRPr="00027DD2" w:rsidRDefault="00F20BF6" w:rsidP="00F20BF6">
      <w:pPr>
        <w:numPr>
          <w:ilvl w:val="0"/>
          <w:numId w:val="22"/>
        </w:numPr>
        <w:spacing w:before="0" w:after="0" w:line="240" w:lineRule="auto"/>
        <w:rPr>
          <w:rFonts w:ascii="Calibri" w:hAnsi="Calibri"/>
        </w:rPr>
      </w:pPr>
      <w:r w:rsidRPr="00027DD2">
        <w:rPr>
          <w:rFonts w:ascii="Calibri" w:hAnsi="Calibri"/>
        </w:rPr>
        <w:t xml:space="preserve">Promotes coordination on a variety of </w:t>
      </w:r>
      <w:r w:rsidRPr="00027DD2">
        <w:rPr>
          <w:rFonts w:ascii="Calibri" w:hAnsi="Calibri"/>
          <w:b/>
          <w:bCs/>
        </w:rPr>
        <w:t>evaluation activities to promote program improvement</w:t>
      </w:r>
    </w:p>
    <w:p w:rsidR="00AF7CD2" w:rsidRPr="00F57D00" w:rsidRDefault="00F20BF6" w:rsidP="00AF7CD2">
      <w:pPr>
        <w:pStyle w:val="Heading3"/>
        <w:rPr>
          <w:color w:val="244061" w:themeColor="accent1" w:themeShade="80"/>
        </w:rPr>
      </w:pPr>
      <w:r w:rsidRPr="00F57D00">
        <w:rPr>
          <w:color w:val="244061" w:themeColor="accent1" w:themeShade="80"/>
        </w:rPr>
        <w:t>Title II</w:t>
      </w:r>
      <w:r w:rsidR="00AF7CD2" w:rsidRPr="00F57D00">
        <w:rPr>
          <w:color w:val="244061" w:themeColor="accent1" w:themeShade="80"/>
        </w:rPr>
        <w:t>:  Adult Education and Family Literacy Act (AEFLA)</w:t>
      </w:r>
    </w:p>
    <w:p w:rsidR="00F20BF6" w:rsidRPr="00F57D00" w:rsidRDefault="00F20BF6" w:rsidP="00AF7CD2">
      <w:pPr>
        <w:pStyle w:val="Heading4"/>
        <w:rPr>
          <w:color w:val="632423" w:themeColor="accent2" w:themeShade="80"/>
        </w:rPr>
      </w:pPr>
      <w:r w:rsidRPr="00F57D00">
        <w:rPr>
          <w:color w:val="632423" w:themeColor="accent2" w:themeShade="80"/>
        </w:rPr>
        <w:t xml:space="preserve">Retains </w:t>
      </w:r>
      <w:r w:rsidR="00AF7CD2" w:rsidRPr="00F57D00">
        <w:rPr>
          <w:color w:val="632423" w:themeColor="accent2" w:themeShade="80"/>
        </w:rPr>
        <w:t xml:space="preserve">WIA </w:t>
      </w:r>
      <w:r w:rsidRPr="00F57D00">
        <w:rPr>
          <w:color w:val="632423" w:themeColor="accent2" w:themeShade="80"/>
        </w:rPr>
        <w:t>AEFLA Purposes</w:t>
      </w:r>
    </w:p>
    <w:p w:rsidR="00F20BF6" w:rsidRPr="00027DD2" w:rsidRDefault="00F20BF6" w:rsidP="00F20BF6">
      <w:pPr>
        <w:spacing w:before="0" w:after="0"/>
        <w:rPr>
          <w:rFonts w:ascii="Calibri" w:hAnsi="Calibri"/>
        </w:rPr>
      </w:pPr>
      <w:r w:rsidRPr="00027DD2">
        <w:rPr>
          <w:rFonts w:ascii="Calibri" w:hAnsi="Calibri"/>
          <w:i/>
          <w:iCs/>
        </w:rPr>
        <w:t xml:space="preserve">Create a partnership among Federal Government, States, and localities to provide adult education and literacy services that </w:t>
      </w:r>
    </w:p>
    <w:p w:rsidR="00F20BF6" w:rsidRPr="00027DD2" w:rsidRDefault="00F20BF6" w:rsidP="00AF7CD2">
      <w:pPr>
        <w:numPr>
          <w:ilvl w:val="0"/>
          <w:numId w:val="23"/>
        </w:numPr>
        <w:spacing w:before="0" w:after="0" w:line="240" w:lineRule="auto"/>
        <w:rPr>
          <w:rFonts w:ascii="Calibri" w:hAnsi="Calibri"/>
        </w:rPr>
      </w:pPr>
      <w:r w:rsidRPr="00027DD2">
        <w:rPr>
          <w:rFonts w:ascii="Calibri" w:hAnsi="Calibri"/>
          <w:i/>
          <w:iCs/>
        </w:rPr>
        <w:t>Assist adults to become literate and obtain the knowledge and skills necessary for employment and economic self-sufficiency</w:t>
      </w:r>
    </w:p>
    <w:p w:rsidR="00F20BF6" w:rsidRPr="00027DD2" w:rsidRDefault="00F20BF6" w:rsidP="00AF7CD2">
      <w:pPr>
        <w:numPr>
          <w:ilvl w:val="0"/>
          <w:numId w:val="23"/>
        </w:numPr>
        <w:spacing w:before="0" w:after="0" w:line="240" w:lineRule="auto"/>
        <w:rPr>
          <w:rFonts w:ascii="Calibri" w:hAnsi="Calibri"/>
        </w:rPr>
      </w:pPr>
      <w:r w:rsidRPr="00027DD2">
        <w:rPr>
          <w:rFonts w:ascii="Calibri" w:hAnsi="Calibri"/>
          <w:i/>
          <w:iCs/>
        </w:rPr>
        <w:t>Assist adults who are parents or family members become a full partner in the education development of their children</w:t>
      </w:r>
    </w:p>
    <w:p w:rsidR="00F20BF6" w:rsidRPr="00027DD2" w:rsidRDefault="00F20BF6" w:rsidP="00AF7CD2">
      <w:pPr>
        <w:numPr>
          <w:ilvl w:val="0"/>
          <w:numId w:val="23"/>
        </w:numPr>
        <w:spacing w:before="0" w:after="0" w:line="240" w:lineRule="auto"/>
        <w:rPr>
          <w:rFonts w:ascii="Calibri" w:hAnsi="Calibri"/>
        </w:rPr>
      </w:pPr>
      <w:r w:rsidRPr="00027DD2">
        <w:rPr>
          <w:rFonts w:ascii="Calibri" w:hAnsi="Calibri"/>
          <w:i/>
          <w:iCs/>
        </w:rPr>
        <w:t>Assist adults in completing high school</w:t>
      </w:r>
    </w:p>
    <w:p w:rsidR="00F20BF6" w:rsidRPr="00F57D00" w:rsidRDefault="00F20BF6" w:rsidP="00AF7CD2">
      <w:pPr>
        <w:pStyle w:val="Heading4"/>
        <w:rPr>
          <w:color w:val="632423" w:themeColor="accent2" w:themeShade="80"/>
        </w:rPr>
      </w:pPr>
      <w:r w:rsidRPr="00F57D00">
        <w:rPr>
          <w:color w:val="632423" w:themeColor="accent2" w:themeShade="80"/>
        </w:rPr>
        <w:lastRenderedPageBreak/>
        <w:t xml:space="preserve">Expands </w:t>
      </w:r>
      <w:r w:rsidR="00AF7CD2" w:rsidRPr="00F57D00">
        <w:rPr>
          <w:color w:val="632423" w:themeColor="accent2" w:themeShade="80"/>
        </w:rPr>
        <w:t>AEFLA</w:t>
      </w:r>
      <w:r w:rsidRPr="00F57D00">
        <w:rPr>
          <w:color w:val="632423" w:themeColor="accent2" w:themeShade="80"/>
        </w:rPr>
        <w:t xml:space="preserve"> </w:t>
      </w:r>
      <w:r w:rsidR="00AF7CD2" w:rsidRPr="00F57D00">
        <w:rPr>
          <w:color w:val="632423" w:themeColor="accent2" w:themeShade="80"/>
        </w:rPr>
        <w:t>P</w:t>
      </w:r>
      <w:r w:rsidRPr="00F57D00">
        <w:rPr>
          <w:color w:val="632423" w:themeColor="accent2" w:themeShade="80"/>
        </w:rPr>
        <w:t>urposes</w:t>
      </w:r>
    </w:p>
    <w:p w:rsidR="00F20BF6" w:rsidRPr="00027DD2" w:rsidRDefault="00F20BF6" w:rsidP="00F20BF6">
      <w:pPr>
        <w:spacing w:before="0" w:after="0"/>
        <w:rPr>
          <w:rFonts w:ascii="Calibri" w:hAnsi="Calibri"/>
        </w:rPr>
      </w:pPr>
      <w:r w:rsidRPr="00027DD2">
        <w:rPr>
          <w:rFonts w:ascii="Calibri" w:hAnsi="Calibri"/>
        </w:rPr>
        <w:t>Purpose expanded to:</w:t>
      </w:r>
    </w:p>
    <w:p w:rsidR="00F20BF6" w:rsidRPr="00027DD2" w:rsidRDefault="00F20BF6" w:rsidP="00AF7CD2">
      <w:pPr>
        <w:numPr>
          <w:ilvl w:val="0"/>
          <w:numId w:val="24"/>
        </w:numPr>
        <w:spacing w:before="0" w:after="0" w:line="240" w:lineRule="auto"/>
        <w:rPr>
          <w:rFonts w:ascii="Calibri" w:hAnsi="Calibri"/>
        </w:rPr>
      </w:pPr>
      <w:r w:rsidRPr="00027DD2">
        <w:rPr>
          <w:rFonts w:ascii="Calibri" w:hAnsi="Calibri"/>
          <w:b/>
          <w:bCs/>
        </w:rPr>
        <w:t>Promote transitions</w:t>
      </w:r>
      <w:r w:rsidRPr="00027DD2">
        <w:rPr>
          <w:rFonts w:ascii="Calibri" w:hAnsi="Calibri"/>
        </w:rPr>
        <w:t xml:space="preserve"> from adult education to postsecondary education and training through career pathways</w:t>
      </w:r>
    </w:p>
    <w:p w:rsidR="00F20BF6" w:rsidRPr="00027DD2" w:rsidRDefault="00F20BF6" w:rsidP="00AF7CD2">
      <w:pPr>
        <w:numPr>
          <w:ilvl w:val="0"/>
          <w:numId w:val="24"/>
        </w:numPr>
        <w:spacing w:before="0" w:after="0" w:line="240" w:lineRule="auto"/>
        <w:rPr>
          <w:rFonts w:ascii="Calibri" w:hAnsi="Calibri"/>
        </w:rPr>
      </w:pPr>
      <w:r w:rsidRPr="00027DD2">
        <w:rPr>
          <w:rFonts w:ascii="Calibri" w:hAnsi="Calibri"/>
          <w:b/>
          <w:bCs/>
        </w:rPr>
        <w:t xml:space="preserve">Assist immigrants and English language learners </w:t>
      </w:r>
    </w:p>
    <w:p w:rsidR="00F20BF6" w:rsidRPr="00027DD2" w:rsidRDefault="00F20BF6" w:rsidP="00AF7CD2">
      <w:pPr>
        <w:numPr>
          <w:ilvl w:val="1"/>
          <w:numId w:val="24"/>
        </w:numPr>
        <w:spacing w:before="0" w:after="0" w:line="240" w:lineRule="auto"/>
        <w:rPr>
          <w:rFonts w:ascii="Calibri" w:hAnsi="Calibri"/>
        </w:rPr>
      </w:pPr>
      <w:r w:rsidRPr="00027DD2">
        <w:rPr>
          <w:rFonts w:ascii="Calibri" w:hAnsi="Calibri"/>
        </w:rPr>
        <w:t>improve reading, writing, math, speaking, and comprehending the English language</w:t>
      </w:r>
    </w:p>
    <w:p w:rsidR="00F20BF6" w:rsidRPr="00027DD2" w:rsidRDefault="00F20BF6" w:rsidP="00AF7CD2">
      <w:pPr>
        <w:numPr>
          <w:ilvl w:val="1"/>
          <w:numId w:val="24"/>
        </w:numPr>
        <w:spacing w:before="0" w:after="0" w:line="240" w:lineRule="auto"/>
        <w:rPr>
          <w:rFonts w:ascii="Calibri" w:hAnsi="Calibri"/>
        </w:rPr>
      </w:pPr>
      <w:r w:rsidRPr="00027DD2">
        <w:rPr>
          <w:rFonts w:ascii="Calibri" w:hAnsi="Calibri"/>
        </w:rPr>
        <w:t>acquire understanding of American government, individual freedom, and responsibilities of citizenship</w:t>
      </w:r>
    </w:p>
    <w:p w:rsidR="00F20BF6" w:rsidRPr="00F57D00" w:rsidRDefault="00F20BF6" w:rsidP="00AF7CD2">
      <w:pPr>
        <w:pStyle w:val="Heading4"/>
        <w:rPr>
          <w:color w:val="632423" w:themeColor="accent2" w:themeShade="80"/>
        </w:rPr>
      </w:pPr>
      <w:r w:rsidRPr="00F57D00">
        <w:rPr>
          <w:color w:val="632423" w:themeColor="accent2" w:themeShade="80"/>
        </w:rPr>
        <w:t>State Responsibilities</w:t>
      </w:r>
    </w:p>
    <w:p w:rsidR="00F20BF6" w:rsidRPr="00027DD2" w:rsidRDefault="00F20BF6" w:rsidP="00AF7CD2">
      <w:pPr>
        <w:spacing w:before="0" w:after="0" w:line="240" w:lineRule="auto"/>
        <w:rPr>
          <w:rFonts w:ascii="Calibri" w:hAnsi="Calibri"/>
        </w:rPr>
      </w:pPr>
      <w:r w:rsidRPr="00027DD2">
        <w:rPr>
          <w:rFonts w:ascii="Calibri" w:hAnsi="Calibri"/>
        </w:rPr>
        <w:t>WIOA maintains much of the State fiscal requirements</w:t>
      </w:r>
      <w:r w:rsidR="00AF7CD2">
        <w:rPr>
          <w:rFonts w:ascii="Calibri" w:hAnsi="Calibri"/>
        </w:rPr>
        <w:t>.</w:t>
      </w:r>
    </w:p>
    <w:p w:rsidR="00AF7CD2" w:rsidRDefault="00AF7CD2" w:rsidP="00F20BF6">
      <w:pPr>
        <w:spacing w:before="0" w:after="0"/>
        <w:rPr>
          <w:rFonts w:ascii="Calibri" w:hAnsi="Calibri"/>
          <w:b/>
          <w:bCs/>
        </w:rPr>
      </w:pPr>
    </w:p>
    <w:p w:rsidR="00F20BF6" w:rsidRPr="00027DD2" w:rsidRDefault="00F20BF6" w:rsidP="00F20BF6">
      <w:pPr>
        <w:spacing w:before="0" w:after="0"/>
        <w:rPr>
          <w:rFonts w:ascii="Calibri" w:hAnsi="Calibri"/>
        </w:rPr>
      </w:pPr>
      <w:r w:rsidRPr="00027DD2">
        <w:rPr>
          <w:rFonts w:ascii="Calibri" w:hAnsi="Calibri"/>
          <w:b/>
          <w:bCs/>
        </w:rPr>
        <w:t>State Distribution of Funds</w:t>
      </w:r>
    </w:p>
    <w:p w:rsidR="00F20BF6" w:rsidRPr="00AF7CD2" w:rsidRDefault="00F20BF6" w:rsidP="00BE659C">
      <w:pPr>
        <w:pStyle w:val="ListParagraph"/>
        <w:numPr>
          <w:ilvl w:val="0"/>
          <w:numId w:val="33"/>
        </w:numPr>
      </w:pPr>
      <w:r w:rsidRPr="00AF7CD2">
        <w:t>State administrative expenses capped at 5% or $85,000 (increased from $65,000 under WIA)</w:t>
      </w:r>
    </w:p>
    <w:p w:rsidR="00F20BF6" w:rsidRPr="00AF7CD2" w:rsidRDefault="00F20BF6" w:rsidP="00BE659C">
      <w:pPr>
        <w:pStyle w:val="ListParagraph"/>
        <w:numPr>
          <w:ilvl w:val="0"/>
          <w:numId w:val="33"/>
        </w:numPr>
      </w:pPr>
      <w:r w:rsidRPr="00AF7CD2">
        <w:t>State leadership may not exceed 12.5%</w:t>
      </w:r>
    </w:p>
    <w:p w:rsidR="00F20BF6" w:rsidRPr="00AF7CD2" w:rsidRDefault="00F20BF6" w:rsidP="00BE659C">
      <w:pPr>
        <w:pStyle w:val="ListParagraph"/>
        <w:numPr>
          <w:ilvl w:val="0"/>
          <w:numId w:val="33"/>
        </w:numPr>
      </w:pPr>
      <w:r w:rsidRPr="00AF7CD2">
        <w:t>Maintains 82.5% for grants and contracts to eligible providers, not more than 20% may be used for corrections education programs (increased from 10%)</w:t>
      </w:r>
    </w:p>
    <w:p w:rsidR="00F20BF6" w:rsidRPr="00AF7CD2" w:rsidRDefault="00F20BF6" w:rsidP="00BE659C">
      <w:pPr>
        <w:pStyle w:val="ListParagraph"/>
        <w:numPr>
          <w:ilvl w:val="0"/>
          <w:numId w:val="33"/>
        </w:numPr>
      </w:pPr>
      <w:r w:rsidRPr="00AF7CD2">
        <w:t>Match and MOE requirements remain unchanged</w:t>
      </w:r>
    </w:p>
    <w:p w:rsidR="00F20BF6" w:rsidRPr="00F57D00" w:rsidRDefault="00F20BF6" w:rsidP="00AF7CD2">
      <w:pPr>
        <w:pStyle w:val="Heading4"/>
        <w:rPr>
          <w:color w:val="632423" w:themeColor="accent2" w:themeShade="80"/>
        </w:rPr>
      </w:pPr>
      <w:r w:rsidRPr="00F57D00">
        <w:rPr>
          <w:color w:val="632423" w:themeColor="accent2" w:themeShade="80"/>
        </w:rPr>
        <w:t xml:space="preserve">Additional title </w:t>
      </w:r>
      <w:r w:rsidR="00F57D00">
        <w:rPr>
          <w:color w:val="632423" w:themeColor="accent2" w:themeShade="80"/>
        </w:rPr>
        <w:t>II</w:t>
      </w:r>
      <w:r w:rsidRPr="00F57D00">
        <w:rPr>
          <w:color w:val="632423" w:themeColor="accent2" w:themeShade="80"/>
        </w:rPr>
        <w:t xml:space="preserve"> changes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Changes “</w:t>
      </w:r>
      <w:r w:rsidRPr="00027DD2">
        <w:rPr>
          <w:rFonts w:ascii="Calibri" w:hAnsi="Calibri"/>
          <w:b/>
          <w:bCs/>
        </w:rPr>
        <w:t>eligible provider</w:t>
      </w:r>
      <w:r w:rsidRPr="00027DD2">
        <w:rPr>
          <w:rFonts w:ascii="Calibri" w:hAnsi="Calibri"/>
        </w:rPr>
        <w:t>” definition</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Creates </w:t>
      </w:r>
      <w:r w:rsidRPr="00027DD2">
        <w:rPr>
          <w:rFonts w:ascii="Calibri" w:hAnsi="Calibri"/>
          <w:b/>
          <w:bCs/>
        </w:rPr>
        <w:t xml:space="preserve">three new activities </w:t>
      </w:r>
      <w:r w:rsidRPr="00027DD2">
        <w:rPr>
          <w:rFonts w:ascii="Calibri" w:hAnsi="Calibri"/>
        </w:rPr>
        <w:t>supported with AEFLA funds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Increases the amount of funds reserved for </w:t>
      </w:r>
      <w:r w:rsidRPr="00027DD2">
        <w:rPr>
          <w:rFonts w:ascii="Calibri" w:hAnsi="Calibri"/>
          <w:b/>
          <w:bCs/>
        </w:rPr>
        <w:t>national leadership activities</w:t>
      </w:r>
      <w:r w:rsidRPr="00027DD2">
        <w:rPr>
          <w:rFonts w:ascii="Calibri" w:hAnsi="Calibri"/>
        </w:rPr>
        <w:t xml:space="preserve"> (from $8 million to $15 million) and includes four new required activities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Adds four new required activities to be supported with </w:t>
      </w:r>
      <w:r w:rsidRPr="00027DD2">
        <w:rPr>
          <w:rFonts w:ascii="Calibri" w:hAnsi="Calibri"/>
          <w:b/>
          <w:bCs/>
        </w:rPr>
        <w:t>State leadership funds</w:t>
      </w:r>
      <w:r w:rsidRPr="00027DD2">
        <w:rPr>
          <w:rFonts w:ascii="Calibri" w:hAnsi="Calibri"/>
        </w:rPr>
        <w:t>, along with several permissible activities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Revises </w:t>
      </w:r>
      <w:r w:rsidRPr="00027DD2">
        <w:rPr>
          <w:rFonts w:ascii="Calibri" w:hAnsi="Calibri"/>
          <w:b/>
          <w:bCs/>
        </w:rPr>
        <w:t xml:space="preserve">considerations States must use in awarding grants </w:t>
      </w:r>
      <w:r w:rsidRPr="00027DD2">
        <w:rPr>
          <w:rFonts w:ascii="Calibri" w:hAnsi="Calibri"/>
        </w:rPr>
        <w:t xml:space="preserve">to eligible providers </w:t>
      </w:r>
    </w:p>
    <w:p w:rsidR="00F20BF6" w:rsidRPr="00027DD2" w:rsidRDefault="00F20BF6" w:rsidP="00F57D00">
      <w:pPr>
        <w:pStyle w:val="Heading2"/>
        <w:shd w:val="clear" w:color="auto" w:fill="244061" w:themeFill="accent1" w:themeFillShade="80"/>
      </w:pPr>
      <w:r w:rsidRPr="00027DD2">
        <w:t>WIOA New Activities</w:t>
      </w:r>
    </w:p>
    <w:p w:rsidR="00F20BF6" w:rsidRPr="00F57D00" w:rsidRDefault="00F20BF6" w:rsidP="001629B5">
      <w:pPr>
        <w:spacing w:before="0" w:after="0" w:line="240" w:lineRule="auto"/>
        <w:rPr>
          <w:rFonts w:ascii="Calibri" w:hAnsi="Calibri"/>
          <w:color w:val="632423" w:themeColor="accent2" w:themeShade="80"/>
        </w:rPr>
      </w:pPr>
      <w:r w:rsidRPr="00F57D00">
        <w:rPr>
          <w:rFonts w:ascii="Calibri" w:hAnsi="Calibri"/>
          <w:b/>
          <w:bCs/>
          <w:color w:val="632423" w:themeColor="accent2" w:themeShade="80"/>
        </w:rPr>
        <w:t>WORKFORCE PREPARATION ACTIVITIES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Activities, programs, or services designed to help an individual acquire a </w:t>
      </w:r>
      <w:r w:rsidRPr="00027DD2">
        <w:rPr>
          <w:rFonts w:ascii="Calibri" w:hAnsi="Calibri"/>
          <w:b/>
          <w:bCs/>
        </w:rPr>
        <w:t xml:space="preserve">combination of basic academic, critical thinking, digital literacy, and self-management skills </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Includes competencies in utilizing resources and using information, and acquiring other skills necessary for successful transition into postsecondary education, training, or employment </w:t>
      </w:r>
    </w:p>
    <w:p w:rsidR="001629B5" w:rsidRDefault="001629B5" w:rsidP="001629B5">
      <w:pPr>
        <w:spacing w:before="0" w:after="0" w:line="240" w:lineRule="auto"/>
        <w:rPr>
          <w:rFonts w:ascii="Calibri" w:hAnsi="Calibri"/>
          <w:b/>
          <w:bCs/>
        </w:rPr>
      </w:pPr>
    </w:p>
    <w:p w:rsidR="00F20BF6" w:rsidRPr="00F57D00" w:rsidRDefault="00F20BF6" w:rsidP="001629B5">
      <w:pPr>
        <w:spacing w:before="0" w:after="0" w:line="240" w:lineRule="auto"/>
        <w:rPr>
          <w:rFonts w:ascii="Calibri" w:hAnsi="Calibri"/>
          <w:color w:val="632423" w:themeColor="accent2" w:themeShade="80"/>
        </w:rPr>
      </w:pPr>
      <w:r w:rsidRPr="00F57D00">
        <w:rPr>
          <w:rFonts w:ascii="Calibri" w:hAnsi="Calibri"/>
          <w:b/>
          <w:bCs/>
          <w:color w:val="632423" w:themeColor="accent2" w:themeShade="80"/>
        </w:rPr>
        <w:t>INTEGRATED EDUCATION AND TRAINING</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Service approach that provides adult education and literacy activities </w:t>
      </w:r>
      <w:r w:rsidRPr="00027DD2">
        <w:rPr>
          <w:rFonts w:ascii="Calibri" w:hAnsi="Calibri"/>
          <w:b/>
          <w:bCs/>
        </w:rPr>
        <w:t xml:space="preserve">concurrently and contextually with workforce preparation activities </w:t>
      </w:r>
      <w:r w:rsidRPr="00027DD2">
        <w:rPr>
          <w:rFonts w:ascii="Calibri" w:hAnsi="Calibri"/>
        </w:rPr>
        <w:t xml:space="preserve">and </w:t>
      </w:r>
      <w:r w:rsidRPr="00027DD2">
        <w:rPr>
          <w:rFonts w:ascii="Calibri" w:hAnsi="Calibri"/>
          <w:b/>
          <w:bCs/>
        </w:rPr>
        <w:t>workforce training</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Targets training in occupations or clusters that assist adults in their educational and career advancement</w:t>
      </w:r>
    </w:p>
    <w:p w:rsidR="001629B5" w:rsidRDefault="001629B5" w:rsidP="001629B5">
      <w:pPr>
        <w:spacing w:before="0" w:after="0" w:line="240" w:lineRule="auto"/>
        <w:rPr>
          <w:rFonts w:ascii="Calibri" w:hAnsi="Calibri"/>
          <w:b/>
          <w:bCs/>
        </w:rPr>
      </w:pPr>
    </w:p>
    <w:p w:rsidR="00F20BF6" w:rsidRPr="00F57D00" w:rsidRDefault="00F20BF6" w:rsidP="001629B5">
      <w:pPr>
        <w:spacing w:before="0" w:after="0" w:line="240" w:lineRule="auto"/>
        <w:rPr>
          <w:rFonts w:ascii="Calibri" w:hAnsi="Calibri"/>
          <w:color w:val="632423" w:themeColor="accent2" w:themeShade="80"/>
        </w:rPr>
      </w:pPr>
      <w:r w:rsidRPr="00F57D00">
        <w:rPr>
          <w:rFonts w:ascii="Calibri" w:hAnsi="Calibri"/>
          <w:b/>
          <w:bCs/>
          <w:color w:val="632423" w:themeColor="accent2" w:themeShade="80"/>
        </w:rPr>
        <w:t>INTEGRATED ENGLISH LITERACY AND CIVICS EDUCATION</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Codifies the IEL/CE program, previously funded through annual appropriations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Provides instruction in literacy and English language acquisition, civic participation and the rights and responsibilities of citizens, and workforce training</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Activities must be </w:t>
      </w:r>
      <w:r w:rsidRPr="00027DD2">
        <w:rPr>
          <w:rFonts w:ascii="Calibri" w:hAnsi="Calibri"/>
          <w:b/>
          <w:bCs/>
        </w:rPr>
        <w:t>provided in combination with IET activities</w:t>
      </w:r>
    </w:p>
    <w:p w:rsidR="00F20BF6" w:rsidRPr="00027DD2" w:rsidRDefault="00F20BF6" w:rsidP="00190AFA">
      <w:pPr>
        <w:numPr>
          <w:ilvl w:val="0"/>
          <w:numId w:val="25"/>
        </w:numPr>
        <w:spacing w:before="0" w:after="0" w:line="240" w:lineRule="auto"/>
        <w:rPr>
          <w:rFonts w:ascii="Calibri" w:hAnsi="Calibri"/>
        </w:rPr>
      </w:pPr>
      <w:r w:rsidRPr="00027DD2">
        <w:rPr>
          <w:rFonts w:ascii="Calibri" w:hAnsi="Calibri"/>
        </w:rPr>
        <w:t xml:space="preserve">Focuses program design and goal on </w:t>
      </w:r>
      <w:r w:rsidRPr="00027DD2">
        <w:rPr>
          <w:rFonts w:ascii="Calibri" w:hAnsi="Calibri"/>
          <w:b/>
          <w:bCs/>
        </w:rPr>
        <w:t>preparing adults for employment in in-demand industries and in coordination with local workforce system</w:t>
      </w:r>
    </w:p>
    <w:p w:rsidR="001629B5" w:rsidRPr="006A33D8" w:rsidRDefault="00F20BF6" w:rsidP="00190AFA">
      <w:pPr>
        <w:numPr>
          <w:ilvl w:val="0"/>
          <w:numId w:val="25"/>
        </w:numPr>
        <w:spacing w:before="0" w:after="0" w:line="240" w:lineRule="auto"/>
        <w:rPr>
          <w:rFonts w:ascii="Calibri" w:hAnsi="Calibri"/>
        </w:rPr>
      </w:pPr>
      <w:r w:rsidRPr="00027DD2">
        <w:rPr>
          <w:rFonts w:ascii="Calibri" w:hAnsi="Calibri"/>
        </w:rPr>
        <w:t>Reserves 12% of appropriations to support IEL/CE activities</w:t>
      </w:r>
    </w:p>
    <w:p w:rsidR="00F20BF6" w:rsidRPr="00027DD2" w:rsidRDefault="00F20BF6" w:rsidP="00F57D00">
      <w:pPr>
        <w:pStyle w:val="Heading2"/>
        <w:shd w:val="clear" w:color="auto" w:fill="244061" w:themeFill="accent1" w:themeFillShade="80"/>
      </w:pPr>
      <w:r w:rsidRPr="00027DD2">
        <w:lastRenderedPageBreak/>
        <w:t>Overview of the Performance Accountability System</w:t>
      </w:r>
    </w:p>
    <w:p w:rsidR="00F20BF6" w:rsidRPr="00027DD2" w:rsidRDefault="00F20BF6" w:rsidP="001629B5">
      <w:pPr>
        <w:spacing w:before="0" w:after="0" w:line="240" w:lineRule="auto"/>
        <w:rPr>
          <w:rFonts w:ascii="Calibri" w:hAnsi="Calibri"/>
        </w:rPr>
      </w:pPr>
      <w:r w:rsidRPr="00027DD2">
        <w:rPr>
          <w:rFonts w:ascii="Calibri" w:hAnsi="Calibri"/>
        </w:rPr>
        <w:t>Purpose</w:t>
      </w:r>
      <w:r w:rsidR="001629B5">
        <w:rPr>
          <w:rFonts w:ascii="Calibri" w:hAnsi="Calibri"/>
        </w:rPr>
        <w:t xml:space="preserve">:  </w:t>
      </w:r>
      <w:r w:rsidRPr="00027DD2">
        <w:rPr>
          <w:rFonts w:ascii="Calibri" w:hAnsi="Calibri"/>
          <w:i/>
          <w:iCs/>
        </w:rPr>
        <w:t>“…establish performance accountability measures that apply across the core programs to assess the effectiveness of States and local areas…in achieving positive outcomes for individuals served by those programs”</w:t>
      </w:r>
    </w:p>
    <w:p w:rsidR="0087022E" w:rsidRDefault="0087022E" w:rsidP="0087022E">
      <w:pPr>
        <w:spacing w:before="0" w:after="0" w:line="240" w:lineRule="auto"/>
        <w:rPr>
          <w:rFonts w:ascii="Calibri" w:hAnsi="Calibri"/>
        </w:rPr>
      </w:pPr>
    </w:p>
    <w:p w:rsidR="00F20BF6" w:rsidRPr="00F57D00" w:rsidRDefault="00F20BF6" w:rsidP="00631C96">
      <w:pPr>
        <w:pStyle w:val="Heading3"/>
        <w:rPr>
          <w:color w:val="632423" w:themeColor="accent2" w:themeShade="80"/>
        </w:rPr>
      </w:pPr>
      <w:r w:rsidRPr="00F57D00">
        <w:rPr>
          <w:color w:val="632423" w:themeColor="accent2" w:themeShade="80"/>
        </w:rPr>
        <w:t>Changes in performance requirements</w:t>
      </w:r>
    </w:p>
    <w:tbl>
      <w:tblPr>
        <w:tblStyle w:val="LightList-Accent1"/>
        <w:tblW w:w="9894" w:type="dxa"/>
        <w:tblLook w:val="0420" w:firstRow="1" w:lastRow="0" w:firstColumn="0" w:lastColumn="0" w:noHBand="0" w:noVBand="1"/>
      </w:tblPr>
      <w:tblGrid>
        <w:gridCol w:w="4554"/>
        <w:gridCol w:w="5340"/>
      </w:tblGrid>
      <w:tr w:rsidR="00631C96" w:rsidRPr="00631C96" w:rsidTr="00DD24C1">
        <w:trPr>
          <w:cnfStyle w:val="100000000000" w:firstRow="1" w:lastRow="0" w:firstColumn="0" w:lastColumn="0" w:oddVBand="0" w:evenVBand="0" w:oddHBand="0" w:evenHBand="0" w:firstRowFirstColumn="0" w:firstRowLastColumn="0" w:lastRowFirstColumn="0" w:lastRowLastColumn="0"/>
          <w:trHeight w:val="250"/>
          <w:tblHeader/>
        </w:trPr>
        <w:tc>
          <w:tcPr>
            <w:tcW w:w="4554" w:type="dxa"/>
            <w:tcBorders>
              <w:top w:val="single" w:sz="8" w:space="0" w:color="4F81BD" w:themeColor="accent1"/>
              <w:bottom w:val="single" w:sz="8" w:space="0" w:color="4F81BD" w:themeColor="accent1"/>
              <w:righ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WIA</w:t>
            </w:r>
          </w:p>
        </w:tc>
        <w:tc>
          <w:tcPr>
            <w:tcW w:w="5340" w:type="dxa"/>
            <w:tcBorders>
              <w:lef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WIOA</w:t>
            </w:r>
          </w:p>
        </w:tc>
      </w:tr>
      <w:tr w:rsidR="00631C96" w:rsidRPr="00631C96" w:rsidTr="00631C96">
        <w:trPr>
          <w:cnfStyle w:val="000000100000" w:firstRow="0" w:lastRow="0" w:firstColumn="0" w:lastColumn="0" w:oddVBand="0" w:evenVBand="0" w:oddHBand="1" w:evenHBand="0" w:firstRowFirstColumn="0" w:firstRowLastColumn="0" w:lastRowFirstColumn="0" w:lastRowLastColumn="0"/>
          <w:trHeight w:val="574"/>
        </w:trPr>
        <w:tc>
          <w:tcPr>
            <w:tcW w:w="4554" w:type="dxa"/>
            <w:tcBorders>
              <w:righ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Separate performance indicators for Title I and Title II programs</w:t>
            </w:r>
          </w:p>
        </w:tc>
        <w:tc>
          <w:tcPr>
            <w:tcW w:w="5340" w:type="dxa"/>
            <w:tcBorders>
              <w:lef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 xml:space="preserve">Core programs subject to 6 primary indicators of performance </w:t>
            </w:r>
          </w:p>
        </w:tc>
      </w:tr>
      <w:tr w:rsidR="00631C96" w:rsidRPr="00631C96" w:rsidTr="00631C96">
        <w:trPr>
          <w:trHeight w:val="1609"/>
        </w:trPr>
        <w:tc>
          <w:tcPr>
            <w:tcW w:w="4554" w:type="dxa"/>
            <w:tcBorders>
              <w:top w:val="single" w:sz="8" w:space="0" w:color="4F81BD" w:themeColor="accent1"/>
              <w:bottom w:val="single" w:sz="8" w:space="0" w:color="4F81BD" w:themeColor="accent1"/>
              <w:righ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AEFLA indicators include:</w:t>
            </w:r>
          </w:p>
          <w:p w:rsidR="00631C96" w:rsidRPr="00631C96" w:rsidRDefault="00631C96" w:rsidP="00BE659C">
            <w:pPr>
              <w:numPr>
                <w:ilvl w:val="0"/>
                <w:numId w:val="34"/>
              </w:numPr>
              <w:rPr>
                <w:rFonts w:ascii="Calibri" w:hAnsi="Calibri"/>
              </w:rPr>
            </w:pPr>
            <w:r w:rsidRPr="00631C96">
              <w:rPr>
                <w:rFonts w:ascii="Calibri" w:hAnsi="Calibri"/>
              </w:rPr>
              <w:t xml:space="preserve">Improvements in literacy skill levels </w:t>
            </w:r>
          </w:p>
          <w:p w:rsidR="00631C96" w:rsidRPr="00631C96" w:rsidRDefault="00631C96" w:rsidP="00BE659C">
            <w:pPr>
              <w:numPr>
                <w:ilvl w:val="0"/>
                <w:numId w:val="34"/>
              </w:numPr>
              <w:rPr>
                <w:rFonts w:ascii="Calibri" w:hAnsi="Calibri"/>
              </w:rPr>
            </w:pPr>
            <w:r w:rsidRPr="00631C96">
              <w:rPr>
                <w:rFonts w:ascii="Calibri" w:hAnsi="Calibri"/>
              </w:rPr>
              <w:t>Receipt of HS diploma or equivalent</w:t>
            </w:r>
          </w:p>
          <w:p w:rsidR="00631C96" w:rsidRPr="00631C96" w:rsidRDefault="00631C96" w:rsidP="00BE659C">
            <w:pPr>
              <w:numPr>
                <w:ilvl w:val="0"/>
                <w:numId w:val="34"/>
              </w:numPr>
              <w:rPr>
                <w:rFonts w:ascii="Calibri" w:hAnsi="Calibri"/>
              </w:rPr>
            </w:pPr>
            <w:r w:rsidRPr="00631C96">
              <w:rPr>
                <w:rFonts w:ascii="Calibri" w:hAnsi="Calibri"/>
              </w:rPr>
              <w:t>Enter/retain employment or placement/retention/completion of PSE or training</w:t>
            </w:r>
          </w:p>
        </w:tc>
        <w:tc>
          <w:tcPr>
            <w:tcW w:w="5340" w:type="dxa"/>
            <w:tcBorders>
              <w:lef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 xml:space="preserve">Performance indicators: </w:t>
            </w:r>
          </w:p>
          <w:p w:rsidR="00631C96" w:rsidRPr="00631C96" w:rsidRDefault="00631C96" w:rsidP="00BE659C">
            <w:pPr>
              <w:numPr>
                <w:ilvl w:val="0"/>
                <w:numId w:val="35"/>
              </w:numPr>
              <w:rPr>
                <w:rFonts w:ascii="Calibri" w:hAnsi="Calibri"/>
              </w:rPr>
            </w:pPr>
            <w:r w:rsidRPr="00631C96">
              <w:rPr>
                <w:rFonts w:ascii="Calibri" w:hAnsi="Calibri"/>
              </w:rPr>
              <w:t xml:space="preserve">Employment </w:t>
            </w:r>
          </w:p>
          <w:p w:rsidR="00631C96" w:rsidRPr="00631C96" w:rsidRDefault="00631C96" w:rsidP="00BE659C">
            <w:pPr>
              <w:numPr>
                <w:ilvl w:val="0"/>
                <w:numId w:val="35"/>
              </w:numPr>
              <w:rPr>
                <w:rFonts w:ascii="Calibri" w:hAnsi="Calibri"/>
              </w:rPr>
            </w:pPr>
            <w:r w:rsidRPr="00631C96">
              <w:rPr>
                <w:rFonts w:ascii="Calibri" w:hAnsi="Calibri"/>
              </w:rPr>
              <w:t xml:space="preserve">Earnings </w:t>
            </w:r>
          </w:p>
          <w:p w:rsidR="00631C96" w:rsidRPr="00631C96" w:rsidRDefault="00631C96" w:rsidP="00BE659C">
            <w:pPr>
              <w:numPr>
                <w:ilvl w:val="0"/>
                <w:numId w:val="35"/>
              </w:numPr>
              <w:rPr>
                <w:rFonts w:ascii="Calibri" w:hAnsi="Calibri"/>
              </w:rPr>
            </w:pPr>
            <w:r w:rsidRPr="00631C96">
              <w:rPr>
                <w:rFonts w:ascii="Calibri" w:hAnsi="Calibri"/>
              </w:rPr>
              <w:t xml:space="preserve">Credential attainment </w:t>
            </w:r>
          </w:p>
          <w:p w:rsidR="00631C96" w:rsidRPr="00631C96" w:rsidRDefault="00631C96" w:rsidP="00BE659C">
            <w:pPr>
              <w:numPr>
                <w:ilvl w:val="0"/>
                <w:numId w:val="35"/>
              </w:numPr>
              <w:rPr>
                <w:rFonts w:ascii="Calibri" w:hAnsi="Calibri"/>
              </w:rPr>
            </w:pPr>
            <w:r w:rsidRPr="00631C96">
              <w:rPr>
                <w:rFonts w:ascii="Calibri" w:hAnsi="Calibri"/>
              </w:rPr>
              <w:t xml:space="preserve">Measurable skill gains </w:t>
            </w:r>
          </w:p>
          <w:p w:rsidR="00631C96" w:rsidRPr="00631C96" w:rsidRDefault="00631C96" w:rsidP="00BE659C">
            <w:pPr>
              <w:numPr>
                <w:ilvl w:val="0"/>
                <w:numId w:val="35"/>
              </w:numPr>
              <w:rPr>
                <w:rFonts w:ascii="Calibri" w:hAnsi="Calibri"/>
              </w:rPr>
            </w:pPr>
            <w:r w:rsidRPr="00631C96">
              <w:rPr>
                <w:rFonts w:ascii="Calibri" w:hAnsi="Calibri"/>
              </w:rPr>
              <w:t>Serving employers</w:t>
            </w:r>
          </w:p>
        </w:tc>
      </w:tr>
      <w:tr w:rsidR="00631C96" w:rsidRPr="00631C96" w:rsidTr="00631C96">
        <w:trPr>
          <w:cnfStyle w:val="000000100000" w:firstRow="0" w:lastRow="0" w:firstColumn="0" w:lastColumn="0" w:oddVBand="0" w:evenVBand="0" w:oddHBand="1" w:evenHBand="0" w:firstRowFirstColumn="0" w:firstRowLastColumn="0" w:lastRowFirstColumn="0" w:lastRowLastColumn="0"/>
          <w:trHeight w:val="250"/>
        </w:trPr>
        <w:tc>
          <w:tcPr>
            <w:tcW w:w="4554" w:type="dxa"/>
            <w:tcBorders>
              <w:righ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Incentives for States that exceed targets</w:t>
            </w:r>
          </w:p>
        </w:tc>
        <w:tc>
          <w:tcPr>
            <w:tcW w:w="5340" w:type="dxa"/>
            <w:tcBorders>
              <w:left w:val="single" w:sz="4" w:space="0" w:color="4F81BD" w:themeColor="accent1"/>
            </w:tcBorders>
            <w:hideMark/>
          </w:tcPr>
          <w:p w:rsidR="00631C96" w:rsidRPr="00631C96" w:rsidRDefault="00631C96" w:rsidP="00631C96">
            <w:pPr>
              <w:rPr>
                <w:rFonts w:ascii="Calibri" w:hAnsi="Calibri"/>
              </w:rPr>
            </w:pPr>
            <w:r w:rsidRPr="00631C96">
              <w:rPr>
                <w:rFonts w:ascii="Calibri" w:hAnsi="Calibri"/>
              </w:rPr>
              <w:t>Sanctions for States that fail to meet targets</w:t>
            </w:r>
          </w:p>
        </w:tc>
      </w:tr>
    </w:tbl>
    <w:p w:rsidR="0087022E" w:rsidRDefault="0087022E" w:rsidP="0087022E">
      <w:pPr>
        <w:spacing w:before="0" w:after="0" w:line="240" w:lineRule="auto"/>
        <w:rPr>
          <w:rFonts w:ascii="Calibri" w:hAnsi="Calibri"/>
        </w:rPr>
      </w:pPr>
    </w:p>
    <w:p w:rsidR="00F20BF6" w:rsidRPr="00F57D00" w:rsidRDefault="00F20BF6" w:rsidP="00631C96">
      <w:pPr>
        <w:pStyle w:val="Heading3"/>
        <w:rPr>
          <w:color w:val="632423" w:themeColor="accent2" w:themeShade="80"/>
        </w:rPr>
      </w:pPr>
      <w:r w:rsidRPr="00F57D00">
        <w:rPr>
          <w:color w:val="632423" w:themeColor="accent2" w:themeShade="80"/>
        </w:rPr>
        <w:t>Performance indicators</w:t>
      </w:r>
    </w:p>
    <w:p w:rsidR="00F20BF6" w:rsidRPr="00027DD2" w:rsidRDefault="00F20BF6" w:rsidP="00190AFA">
      <w:pPr>
        <w:spacing w:before="0" w:after="0" w:line="240" w:lineRule="auto"/>
        <w:rPr>
          <w:rFonts w:ascii="Calibri" w:hAnsi="Calibri"/>
        </w:rPr>
      </w:pPr>
      <w:r w:rsidRPr="00027DD2">
        <w:rPr>
          <w:rFonts w:ascii="Calibri" w:hAnsi="Calibri"/>
        </w:rPr>
        <w:t>Core programs required to report:</w:t>
      </w:r>
    </w:p>
    <w:p w:rsidR="00F20BF6" w:rsidRPr="00027DD2" w:rsidRDefault="00F20BF6" w:rsidP="00BE659C">
      <w:pPr>
        <w:numPr>
          <w:ilvl w:val="0"/>
          <w:numId w:val="36"/>
        </w:numPr>
        <w:spacing w:before="0" w:after="0" w:line="240" w:lineRule="auto"/>
        <w:rPr>
          <w:rFonts w:ascii="Calibri" w:hAnsi="Calibri"/>
        </w:rPr>
      </w:pPr>
      <w:r w:rsidRPr="00027DD2">
        <w:rPr>
          <w:rFonts w:ascii="Calibri" w:hAnsi="Calibri"/>
        </w:rPr>
        <w:t>Percentage of program participants in unsubsidized employment during second quarter after exit</w:t>
      </w:r>
    </w:p>
    <w:p w:rsidR="00F20BF6" w:rsidRPr="00027DD2" w:rsidRDefault="00F20BF6" w:rsidP="00BE659C">
      <w:pPr>
        <w:numPr>
          <w:ilvl w:val="0"/>
          <w:numId w:val="36"/>
        </w:numPr>
        <w:spacing w:before="0" w:after="0" w:line="240" w:lineRule="auto"/>
        <w:rPr>
          <w:rFonts w:ascii="Calibri" w:hAnsi="Calibri"/>
        </w:rPr>
      </w:pPr>
      <w:r w:rsidRPr="00027DD2">
        <w:rPr>
          <w:rFonts w:ascii="Calibri" w:hAnsi="Calibri"/>
        </w:rPr>
        <w:t>Percentage of program participants in unsubsidized employment during fourth quarter after exit</w:t>
      </w:r>
    </w:p>
    <w:p w:rsidR="00F20BF6" w:rsidRPr="00027DD2" w:rsidRDefault="00F20BF6" w:rsidP="00BE659C">
      <w:pPr>
        <w:numPr>
          <w:ilvl w:val="0"/>
          <w:numId w:val="36"/>
        </w:numPr>
        <w:spacing w:before="0" w:after="0" w:line="240" w:lineRule="auto"/>
        <w:rPr>
          <w:rFonts w:ascii="Calibri" w:hAnsi="Calibri"/>
        </w:rPr>
      </w:pPr>
      <w:r w:rsidRPr="00027DD2">
        <w:rPr>
          <w:rFonts w:ascii="Calibri" w:hAnsi="Calibri"/>
        </w:rPr>
        <w:t>Median earnings of program participants employed during second quarter after exit</w:t>
      </w:r>
    </w:p>
    <w:p w:rsidR="00F20BF6" w:rsidRPr="00027DD2" w:rsidRDefault="00F20BF6" w:rsidP="00BE659C">
      <w:pPr>
        <w:numPr>
          <w:ilvl w:val="0"/>
          <w:numId w:val="36"/>
        </w:numPr>
        <w:spacing w:before="0" w:after="0" w:line="240" w:lineRule="auto"/>
        <w:rPr>
          <w:rFonts w:ascii="Calibri" w:hAnsi="Calibri"/>
        </w:rPr>
      </w:pPr>
      <w:r w:rsidRPr="00027DD2">
        <w:rPr>
          <w:rFonts w:ascii="Calibri" w:hAnsi="Calibri"/>
        </w:rPr>
        <w:t>Percentage of program participants who obtain a  postsecondary credential or high school diploma</w:t>
      </w:r>
    </w:p>
    <w:p w:rsidR="00F20BF6" w:rsidRPr="00027DD2" w:rsidRDefault="00F20BF6" w:rsidP="00BE659C">
      <w:pPr>
        <w:numPr>
          <w:ilvl w:val="1"/>
          <w:numId w:val="36"/>
        </w:numPr>
        <w:spacing w:before="0" w:after="0" w:line="240" w:lineRule="auto"/>
        <w:rPr>
          <w:rFonts w:ascii="Calibri" w:hAnsi="Calibri"/>
        </w:rPr>
      </w:pPr>
      <w:r w:rsidRPr="00027DD2">
        <w:rPr>
          <w:rFonts w:ascii="Calibri" w:hAnsi="Calibri"/>
        </w:rPr>
        <w:t xml:space="preserve">Participants attaining a high school diploma may only be counted if they entered or retained employment within one year after exit,  </w:t>
      </w:r>
      <w:r w:rsidRPr="00027DD2">
        <w:rPr>
          <w:rFonts w:ascii="Calibri" w:hAnsi="Calibri"/>
          <w:b/>
          <w:bCs/>
          <w:i/>
          <w:iCs/>
          <w:u w:val="single"/>
        </w:rPr>
        <w:t>or</w:t>
      </w:r>
      <w:r w:rsidRPr="00027DD2">
        <w:rPr>
          <w:rFonts w:ascii="Calibri" w:hAnsi="Calibri"/>
        </w:rPr>
        <w:t xml:space="preserve"> </w:t>
      </w:r>
    </w:p>
    <w:p w:rsidR="00F20BF6" w:rsidRPr="00027DD2" w:rsidRDefault="00F20BF6" w:rsidP="00BE659C">
      <w:pPr>
        <w:numPr>
          <w:ilvl w:val="1"/>
          <w:numId w:val="36"/>
        </w:numPr>
        <w:spacing w:before="0" w:after="0" w:line="240" w:lineRule="auto"/>
        <w:rPr>
          <w:rFonts w:ascii="Calibri" w:hAnsi="Calibri"/>
        </w:rPr>
      </w:pPr>
      <w:r w:rsidRPr="00027DD2">
        <w:rPr>
          <w:rFonts w:ascii="Calibri" w:hAnsi="Calibri"/>
        </w:rPr>
        <w:t>Are in an education or training program leading to a postsecondary credential within one year after exit</w:t>
      </w:r>
    </w:p>
    <w:p w:rsidR="00F20BF6" w:rsidRPr="00027DD2" w:rsidRDefault="00F20BF6" w:rsidP="00BE659C">
      <w:pPr>
        <w:numPr>
          <w:ilvl w:val="0"/>
          <w:numId w:val="36"/>
        </w:numPr>
        <w:spacing w:before="0" w:after="0" w:line="240" w:lineRule="auto"/>
        <w:rPr>
          <w:rFonts w:ascii="Calibri" w:hAnsi="Calibri"/>
        </w:rPr>
      </w:pPr>
      <w:r w:rsidRPr="00027DD2">
        <w:rPr>
          <w:rFonts w:ascii="Calibri" w:hAnsi="Calibri"/>
        </w:rPr>
        <w:t>Percentage of program participants who, during a program year, are in an education or training program that leads to a postsecondary credential or employment and who are achieving measurable skill gains toward a credential or employment</w:t>
      </w:r>
    </w:p>
    <w:p w:rsidR="00F20BF6" w:rsidRPr="00027DD2" w:rsidRDefault="00F20BF6" w:rsidP="00BE659C">
      <w:pPr>
        <w:numPr>
          <w:ilvl w:val="1"/>
          <w:numId w:val="36"/>
        </w:numPr>
        <w:spacing w:before="0" w:after="0" w:line="240" w:lineRule="auto"/>
        <w:rPr>
          <w:rFonts w:ascii="Calibri" w:hAnsi="Calibri"/>
        </w:rPr>
      </w:pPr>
      <w:r w:rsidRPr="00027DD2">
        <w:rPr>
          <w:rFonts w:ascii="Calibri" w:hAnsi="Calibri"/>
        </w:rPr>
        <w:t xml:space="preserve">Statement of Managers report clarifies “measurable skill gains” to encourage </w:t>
      </w:r>
      <w:r w:rsidRPr="00027DD2">
        <w:rPr>
          <w:rFonts w:ascii="Calibri" w:hAnsi="Calibri"/>
          <w:b/>
          <w:bCs/>
        </w:rPr>
        <w:t xml:space="preserve">Title II </w:t>
      </w:r>
      <w:r w:rsidRPr="00027DD2">
        <w:rPr>
          <w:rFonts w:ascii="Calibri" w:hAnsi="Calibri"/>
        </w:rPr>
        <w:t>providers to serve all undereducated, low-level, and underprepared adults</w:t>
      </w:r>
    </w:p>
    <w:p w:rsidR="00F20BF6" w:rsidRDefault="00F20BF6" w:rsidP="00BE659C">
      <w:pPr>
        <w:numPr>
          <w:ilvl w:val="0"/>
          <w:numId w:val="36"/>
        </w:numPr>
        <w:spacing w:before="0" w:after="0" w:line="240" w:lineRule="auto"/>
        <w:rPr>
          <w:rFonts w:ascii="Calibri" w:hAnsi="Calibri"/>
        </w:rPr>
      </w:pPr>
      <w:r w:rsidRPr="00027DD2">
        <w:rPr>
          <w:rFonts w:ascii="Calibri" w:hAnsi="Calibri"/>
        </w:rPr>
        <w:t>Effectiveness in serving employers</w:t>
      </w:r>
    </w:p>
    <w:p w:rsidR="00A47E40" w:rsidRPr="00F57D00" w:rsidRDefault="00A47E40" w:rsidP="00A47E40">
      <w:pPr>
        <w:pStyle w:val="Heading4"/>
        <w:rPr>
          <w:color w:val="632423" w:themeColor="accent2" w:themeShade="80"/>
        </w:rPr>
      </w:pPr>
      <w:r w:rsidRPr="00F57D00">
        <w:rPr>
          <w:color w:val="632423" w:themeColor="accent2" w:themeShade="80"/>
        </w:rPr>
        <w:t>Adjusted levels of Performance</w:t>
      </w:r>
    </w:p>
    <w:p w:rsidR="00A47E40" w:rsidRPr="00027DD2" w:rsidRDefault="00A47E40" w:rsidP="00A47E40">
      <w:pPr>
        <w:spacing w:before="0" w:after="0"/>
        <w:rPr>
          <w:rFonts w:ascii="Calibri" w:hAnsi="Calibri"/>
        </w:rPr>
      </w:pPr>
      <w:r w:rsidRPr="00027DD2">
        <w:rPr>
          <w:rFonts w:ascii="Calibri" w:hAnsi="Calibri"/>
        </w:rPr>
        <w:t>States must negotiate targets for each of the primary indicators of performance using several factors</w:t>
      </w:r>
    </w:p>
    <w:p w:rsidR="00A47E40" w:rsidRPr="00190AFA" w:rsidRDefault="00A47E40" w:rsidP="00A47E40">
      <w:pPr>
        <w:numPr>
          <w:ilvl w:val="0"/>
          <w:numId w:val="26"/>
        </w:numPr>
        <w:spacing w:before="0" w:after="0" w:line="240" w:lineRule="auto"/>
        <w:rPr>
          <w:rFonts w:ascii="Calibri" w:hAnsi="Calibri"/>
        </w:rPr>
      </w:pPr>
      <w:r w:rsidRPr="00190AFA">
        <w:rPr>
          <w:rFonts w:ascii="Calibri" w:hAnsi="Calibri"/>
        </w:rPr>
        <w:t>Comparison with targets established by other States</w:t>
      </w:r>
    </w:p>
    <w:p w:rsidR="00A47E40" w:rsidRPr="00190AFA" w:rsidRDefault="00A47E40" w:rsidP="00A47E40">
      <w:pPr>
        <w:numPr>
          <w:ilvl w:val="0"/>
          <w:numId w:val="26"/>
        </w:numPr>
        <w:spacing w:before="0" w:after="0" w:line="240" w:lineRule="auto"/>
        <w:rPr>
          <w:rFonts w:ascii="Calibri" w:hAnsi="Calibri"/>
        </w:rPr>
      </w:pPr>
      <w:r w:rsidRPr="00190AFA">
        <w:rPr>
          <w:rFonts w:ascii="Calibri" w:hAnsi="Calibri"/>
        </w:rPr>
        <w:t>Adjustments using objective statistical model, taking into account economic conditions and characteristics of participants</w:t>
      </w:r>
    </w:p>
    <w:p w:rsidR="00A47E40" w:rsidRPr="00190AFA" w:rsidRDefault="00A47E40" w:rsidP="00A47E40">
      <w:pPr>
        <w:numPr>
          <w:ilvl w:val="0"/>
          <w:numId w:val="26"/>
        </w:numPr>
        <w:spacing w:before="0" w:after="0" w:line="240" w:lineRule="auto"/>
        <w:rPr>
          <w:rFonts w:ascii="Calibri" w:hAnsi="Calibri"/>
        </w:rPr>
      </w:pPr>
      <w:r w:rsidRPr="00190AFA">
        <w:rPr>
          <w:rFonts w:ascii="Calibri" w:hAnsi="Calibri"/>
        </w:rPr>
        <w:t>Establishment of targets that promote continuous improvement and ensure optimal return on investment</w:t>
      </w:r>
    </w:p>
    <w:p w:rsidR="00A47E40" w:rsidRPr="00190AFA" w:rsidRDefault="00A47E40" w:rsidP="00A47E40">
      <w:pPr>
        <w:numPr>
          <w:ilvl w:val="0"/>
          <w:numId w:val="26"/>
        </w:numPr>
        <w:spacing w:before="0" w:after="0" w:line="240" w:lineRule="auto"/>
        <w:rPr>
          <w:rFonts w:ascii="Calibri" w:hAnsi="Calibri"/>
        </w:rPr>
      </w:pPr>
      <w:r w:rsidRPr="00190AFA">
        <w:rPr>
          <w:rFonts w:ascii="Calibri" w:hAnsi="Calibri"/>
        </w:rPr>
        <w:t>Targets that assist in achieving long-term goals in accordance with the Government Performance and Results Act</w:t>
      </w:r>
    </w:p>
    <w:p w:rsidR="00A47E40" w:rsidRDefault="00A47E40" w:rsidP="00A47E40">
      <w:pPr>
        <w:spacing w:before="0" w:after="0" w:line="240" w:lineRule="auto"/>
        <w:rPr>
          <w:rFonts w:ascii="Calibri" w:hAnsi="Calibri"/>
        </w:rPr>
      </w:pPr>
    </w:p>
    <w:p w:rsidR="007E05FB" w:rsidRPr="00027DD2" w:rsidRDefault="007E05FB" w:rsidP="007E05FB">
      <w:pPr>
        <w:spacing w:before="0" w:after="0" w:line="240" w:lineRule="auto"/>
        <w:rPr>
          <w:rFonts w:ascii="Calibri" w:hAnsi="Calibri"/>
        </w:rPr>
      </w:pPr>
      <w:r>
        <w:rPr>
          <w:noProof/>
        </w:rPr>
        <w:drawing>
          <wp:inline distT="0" distB="0" distL="0" distR="0" wp14:anchorId="545D8C7F" wp14:editId="23E3C3F9">
            <wp:extent cx="5838825" cy="4081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5449" t="25214" r="25321" b="10256"/>
                    <a:stretch/>
                  </pic:blipFill>
                  <pic:spPr bwMode="auto">
                    <a:xfrm>
                      <a:off x="0" y="0"/>
                      <a:ext cx="5838825" cy="4081771"/>
                    </a:xfrm>
                    <a:prstGeom prst="rect">
                      <a:avLst/>
                    </a:prstGeom>
                    <a:ln>
                      <a:noFill/>
                    </a:ln>
                    <a:extLst>
                      <a:ext uri="{53640926-AAD7-44D8-BBD7-CCE9431645EC}">
                        <a14:shadowObscured xmlns:a14="http://schemas.microsoft.com/office/drawing/2010/main"/>
                      </a:ext>
                    </a:extLst>
                  </pic:spPr>
                </pic:pic>
              </a:graphicData>
            </a:graphic>
          </wp:inline>
        </w:drawing>
      </w:r>
    </w:p>
    <w:p w:rsidR="007E05FB" w:rsidRPr="007E05FB" w:rsidRDefault="007E05FB" w:rsidP="00190AFA">
      <w:pPr>
        <w:spacing w:before="0" w:after="0" w:line="240" w:lineRule="auto"/>
        <w:rPr>
          <w:rFonts w:ascii="Calibri" w:hAnsi="Calibri"/>
          <w:i/>
        </w:rPr>
      </w:pPr>
      <w:r w:rsidRPr="007E05FB">
        <w:rPr>
          <w:rFonts w:ascii="Calibri" w:hAnsi="Calibri"/>
          <w:i/>
        </w:rPr>
        <w:t xml:space="preserve">Source:  </w:t>
      </w:r>
      <w:r>
        <w:rPr>
          <w:rFonts w:ascii="Calibri" w:hAnsi="Calibri"/>
          <w:i/>
        </w:rPr>
        <w:t xml:space="preserve">Joint </w:t>
      </w:r>
      <w:r w:rsidRPr="007E05FB">
        <w:rPr>
          <w:rFonts w:ascii="Calibri" w:hAnsi="Calibri"/>
          <w:i/>
        </w:rPr>
        <w:t>Notice of Proposed Rulemaking for WIOA</w:t>
      </w:r>
      <w:r w:rsidR="00A47E40">
        <w:rPr>
          <w:rFonts w:ascii="Calibri" w:hAnsi="Calibri"/>
          <w:i/>
        </w:rPr>
        <w:t xml:space="preserve"> (ETA-2015-0002)</w:t>
      </w:r>
      <w:r w:rsidRPr="007E05FB">
        <w:rPr>
          <w:rFonts w:ascii="Calibri" w:hAnsi="Calibri"/>
          <w:i/>
        </w:rPr>
        <w:t>, Federal Register</w:t>
      </w:r>
      <w:r>
        <w:rPr>
          <w:rFonts w:ascii="Calibri" w:hAnsi="Calibri"/>
          <w:i/>
        </w:rPr>
        <w:t xml:space="preserve"> (April 16, 2015)</w:t>
      </w:r>
    </w:p>
    <w:p w:rsidR="00F20BF6" w:rsidRPr="00F57D00" w:rsidRDefault="00F20BF6" w:rsidP="00190AFA">
      <w:pPr>
        <w:pStyle w:val="Heading4"/>
        <w:rPr>
          <w:color w:val="632423" w:themeColor="accent2" w:themeShade="80"/>
        </w:rPr>
      </w:pPr>
      <w:r w:rsidRPr="00F57D00">
        <w:rPr>
          <w:color w:val="632423" w:themeColor="accent2" w:themeShade="80"/>
        </w:rPr>
        <w:t>Sanctions</w:t>
      </w:r>
    </w:p>
    <w:p w:rsidR="00F20BF6" w:rsidRPr="00027DD2" w:rsidRDefault="00F20BF6" w:rsidP="00F20BF6">
      <w:pPr>
        <w:spacing w:before="0" w:after="0"/>
        <w:rPr>
          <w:rFonts w:ascii="Calibri" w:hAnsi="Calibri"/>
        </w:rPr>
      </w:pPr>
      <w:r w:rsidRPr="00027DD2">
        <w:rPr>
          <w:rFonts w:ascii="Calibri" w:hAnsi="Calibri"/>
        </w:rPr>
        <w:t>States that fail to meet performance targets are subject to the following:</w:t>
      </w:r>
    </w:p>
    <w:tbl>
      <w:tblPr>
        <w:tblStyle w:val="TableGrid"/>
        <w:tblW w:w="0" w:type="auto"/>
        <w:jc w:val="center"/>
        <w:tblLook w:val="04A0" w:firstRow="1" w:lastRow="0" w:firstColumn="1" w:lastColumn="0" w:noHBand="0" w:noVBand="1"/>
      </w:tblPr>
      <w:tblGrid>
        <w:gridCol w:w="1458"/>
        <w:gridCol w:w="5040"/>
      </w:tblGrid>
      <w:tr w:rsidR="00190AFA" w:rsidTr="00F57D00">
        <w:trPr>
          <w:tblHeader/>
          <w:jc w:val="center"/>
        </w:trPr>
        <w:tc>
          <w:tcPr>
            <w:tcW w:w="1458" w:type="dxa"/>
            <w:shd w:val="clear" w:color="auto" w:fill="244061" w:themeFill="accent1" w:themeFillShade="80"/>
          </w:tcPr>
          <w:p w:rsidR="00190AFA" w:rsidRDefault="00190AFA" w:rsidP="00190AFA">
            <w:pPr>
              <w:rPr>
                <w:rFonts w:ascii="Calibri" w:hAnsi="Calibri"/>
                <w:b/>
              </w:rPr>
            </w:pPr>
            <w:r w:rsidRPr="00190AFA">
              <w:rPr>
                <w:rFonts w:ascii="Calibri" w:hAnsi="Calibri"/>
                <w:b/>
              </w:rPr>
              <w:t>Year One</w:t>
            </w:r>
          </w:p>
        </w:tc>
        <w:tc>
          <w:tcPr>
            <w:tcW w:w="5040" w:type="dxa"/>
          </w:tcPr>
          <w:p w:rsidR="00190AFA" w:rsidRPr="00190AFA" w:rsidRDefault="00190AFA" w:rsidP="00BE659C">
            <w:pPr>
              <w:numPr>
                <w:ilvl w:val="0"/>
                <w:numId w:val="37"/>
              </w:numPr>
              <w:rPr>
                <w:rFonts w:ascii="Calibri" w:hAnsi="Calibri"/>
              </w:rPr>
            </w:pPr>
            <w:r w:rsidRPr="00190AFA">
              <w:rPr>
                <w:rFonts w:ascii="Calibri" w:hAnsi="Calibri"/>
              </w:rPr>
              <w:t>Technical assistance</w:t>
            </w:r>
          </w:p>
          <w:p w:rsidR="00190AFA" w:rsidRPr="00190AFA" w:rsidRDefault="00190AFA" w:rsidP="00BE659C">
            <w:pPr>
              <w:numPr>
                <w:ilvl w:val="0"/>
                <w:numId w:val="37"/>
              </w:numPr>
              <w:rPr>
                <w:rFonts w:ascii="Calibri" w:hAnsi="Calibri"/>
              </w:rPr>
            </w:pPr>
            <w:r w:rsidRPr="00190AFA">
              <w:rPr>
                <w:rFonts w:ascii="Calibri" w:hAnsi="Calibri"/>
              </w:rPr>
              <w:t>Develop performance improvement plan</w:t>
            </w:r>
          </w:p>
        </w:tc>
      </w:tr>
      <w:tr w:rsidR="00190AFA" w:rsidTr="00F57D00">
        <w:trPr>
          <w:jc w:val="center"/>
        </w:trPr>
        <w:tc>
          <w:tcPr>
            <w:tcW w:w="1458" w:type="dxa"/>
            <w:shd w:val="clear" w:color="auto" w:fill="244061" w:themeFill="accent1" w:themeFillShade="80"/>
          </w:tcPr>
          <w:p w:rsidR="00190AFA" w:rsidRDefault="00190AFA" w:rsidP="00190AFA">
            <w:pPr>
              <w:rPr>
                <w:rFonts w:ascii="Calibri" w:hAnsi="Calibri"/>
                <w:b/>
              </w:rPr>
            </w:pPr>
            <w:r w:rsidRPr="00190AFA">
              <w:rPr>
                <w:rFonts w:ascii="Calibri" w:hAnsi="Calibri"/>
                <w:b/>
              </w:rPr>
              <w:t>Year Two</w:t>
            </w:r>
          </w:p>
        </w:tc>
        <w:tc>
          <w:tcPr>
            <w:tcW w:w="5040" w:type="dxa"/>
          </w:tcPr>
          <w:p w:rsidR="00190AFA" w:rsidRPr="00190AFA" w:rsidRDefault="00190AFA" w:rsidP="00BE659C">
            <w:pPr>
              <w:numPr>
                <w:ilvl w:val="0"/>
                <w:numId w:val="38"/>
              </w:numPr>
              <w:rPr>
                <w:rFonts w:ascii="Calibri" w:hAnsi="Calibri"/>
              </w:rPr>
            </w:pPr>
            <w:r w:rsidRPr="00190AFA">
              <w:rPr>
                <w:rFonts w:ascii="Calibri" w:hAnsi="Calibri"/>
              </w:rPr>
              <w:t>5% reduction in Governor’s reserve fund</w:t>
            </w:r>
          </w:p>
        </w:tc>
      </w:tr>
    </w:tbl>
    <w:p w:rsidR="00190AFA" w:rsidRDefault="00190AFA" w:rsidP="00190AFA">
      <w:pPr>
        <w:spacing w:before="0" w:after="0" w:line="240" w:lineRule="auto"/>
        <w:rPr>
          <w:rFonts w:ascii="Calibri" w:hAnsi="Calibri"/>
          <w:b/>
        </w:rPr>
      </w:pPr>
    </w:p>
    <w:p w:rsidR="00F20BF6" w:rsidRPr="00027DD2" w:rsidRDefault="00F20BF6" w:rsidP="00C3681E">
      <w:pPr>
        <w:pStyle w:val="Heading4"/>
      </w:pPr>
      <w:r w:rsidRPr="00027DD2">
        <w:t>Performance reports</w:t>
      </w:r>
    </w:p>
    <w:tbl>
      <w:tblPr>
        <w:tblStyle w:val="MediumShading2-Accent2"/>
        <w:tblW w:w="9918" w:type="dxa"/>
        <w:tblLook w:val="0420" w:firstRow="1" w:lastRow="0" w:firstColumn="0" w:lastColumn="0" w:noHBand="0" w:noVBand="1"/>
      </w:tblPr>
      <w:tblGrid>
        <w:gridCol w:w="8388"/>
        <w:gridCol w:w="810"/>
        <w:gridCol w:w="720"/>
      </w:tblGrid>
      <w:tr w:rsidR="0052212F" w:rsidRPr="0052212F" w:rsidTr="00F57D00">
        <w:trPr>
          <w:cnfStyle w:val="100000000000" w:firstRow="1" w:lastRow="0" w:firstColumn="0" w:lastColumn="0" w:oddVBand="0" w:evenVBand="0" w:oddHBand="0" w:evenHBand="0" w:firstRowFirstColumn="0" w:firstRowLastColumn="0" w:lastRowFirstColumn="0" w:lastRowLastColumn="0"/>
          <w:trHeight w:val="252"/>
          <w:tblHeader/>
        </w:trPr>
        <w:tc>
          <w:tcPr>
            <w:tcW w:w="8388" w:type="dxa"/>
            <w:shd w:val="clear" w:color="auto" w:fill="244061" w:themeFill="accent1" w:themeFillShade="80"/>
            <w:hideMark/>
          </w:tcPr>
          <w:p w:rsidR="0052212F" w:rsidRPr="0052212F" w:rsidRDefault="0052212F" w:rsidP="0052212F">
            <w:pPr>
              <w:rPr>
                <w:rFonts w:ascii="Calibri" w:hAnsi="Calibri"/>
              </w:rPr>
            </w:pPr>
          </w:p>
        </w:tc>
        <w:tc>
          <w:tcPr>
            <w:tcW w:w="810" w:type="dxa"/>
            <w:shd w:val="clear" w:color="auto" w:fill="244061" w:themeFill="accent1" w:themeFillShade="80"/>
            <w:hideMark/>
          </w:tcPr>
          <w:p w:rsidR="005F13B5" w:rsidRPr="0052212F" w:rsidRDefault="0052212F" w:rsidP="0052212F">
            <w:pPr>
              <w:rPr>
                <w:rFonts w:ascii="Calibri" w:hAnsi="Calibri"/>
              </w:rPr>
            </w:pPr>
            <w:r w:rsidRPr="0052212F">
              <w:rPr>
                <w:rFonts w:ascii="Calibri" w:hAnsi="Calibri"/>
              </w:rPr>
              <w:t>State</w:t>
            </w:r>
          </w:p>
        </w:tc>
        <w:tc>
          <w:tcPr>
            <w:tcW w:w="720" w:type="dxa"/>
            <w:shd w:val="clear" w:color="auto" w:fill="244061" w:themeFill="accent1" w:themeFillShade="80"/>
            <w:hideMark/>
          </w:tcPr>
          <w:p w:rsidR="005F13B5" w:rsidRPr="0052212F" w:rsidRDefault="0052212F" w:rsidP="0052212F">
            <w:pPr>
              <w:rPr>
                <w:rFonts w:ascii="Calibri" w:hAnsi="Calibri"/>
              </w:rPr>
            </w:pPr>
            <w:r w:rsidRPr="0052212F">
              <w:rPr>
                <w:rFonts w:ascii="Calibri" w:hAnsi="Calibri"/>
              </w:rPr>
              <w:t>Local</w:t>
            </w:r>
          </w:p>
        </w:tc>
      </w:tr>
      <w:tr w:rsidR="0052212F" w:rsidRPr="0052212F" w:rsidTr="00C3681E">
        <w:trPr>
          <w:cnfStyle w:val="000000100000" w:firstRow="0" w:lastRow="0" w:firstColumn="0" w:lastColumn="0" w:oddVBand="0" w:evenVBand="0" w:oddHBand="1" w:evenHBand="0" w:firstRowFirstColumn="0" w:firstRowLastColumn="0" w:lastRowFirstColumn="0" w:lastRowLastColumn="0"/>
          <w:trHeight w:val="297"/>
        </w:trPr>
        <w:tc>
          <w:tcPr>
            <w:tcW w:w="8388" w:type="dxa"/>
            <w:hideMark/>
          </w:tcPr>
          <w:p w:rsidR="005F13B5" w:rsidRPr="0052212F" w:rsidRDefault="0052212F" w:rsidP="0052212F">
            <w:pPr>
              <w:rPr>
                <w:rFonts w:ascii="Calibri" w:hAnsi="Calibri"/>
              </w:rPr>
            </w:pPr>
            <w:r w:rsidRPr="0052212F">
              <w:rPr>
                <w:rFonts w:ascii="Calibri" w:hAnsi="Calibri"/>
              </w:rPr>
              <w:t>Level of performance for core programs</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trHeight w:val="270"/>
        </w:trPr>
        <w:tc>
          <w:tcPr>
            <w:tcW w:w="8388" w:type="dxa"/>
            <w:hideMark/>
          </w:tcPr>
          <w:p w:rsidR="005F13B5" w:rsidRPr="0052212F" w:rsidRDefault="0052212F" w:rsidP="0052212F">
            <w:pPr>
              <w:rPr>
                <w:rFonts w:ascii="Calibri" w:hAnsi="Calibri"/>
              </w:rPr>
            </w:pPr>
            <w:r w:rsidRPr="0052212F">
              <w:rPr>
                <w:rFonts w:ascii="Calibri" w:hAnsi="Calibri"/>
              </w:rPr>
              <w:t>Level of performance for individuals with barriers to employment (disaggregated)</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cnfStyle w:val="000000100000" w:firstRow="0" w:lastRow="0" w:firstColumn="0" w:lastColumn="0" w:oddVBand="0" w:evenVBand="0" w:oddHBand="1" w:evenHBand="0" w:firstRowFirstColumn="0" w:firstRowLastColumn="0" w:lastRowFirstColumn="0" w:lastRowLastColumn="0"/>
          <w:trHeight w:val="270"/>
        </w:trPr>
        <w:tc>
          <w:tcPr>
            <w:tcW w:w="8388" w:type="dxa"/>
            <w:hideMark/>
          </w:tcPr>
          <w:p w:rsidR="005F13B5" w:rsidRPr="0052212F" w:rsidRDefault="0052212F" w:rsidP="0052212F">
            <w:pPr>
              <w:rPr>
                <w:rFonts w:ascii="Calibri" w:hAnsi="Calibri"/>
              </w:rPr>
            </w:pPr>
            <w:r w:rsidRPr="0052212F">
              <w:rPr>
                <w:rFonts w:ascii="Calibri" w:hAnsi="Calibri"/>
              </w:rPr>
              <w:t>Total number of participants served</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trHeight w:val="270"/>
        </w:trPr>
        <w:tc>
          <w:tcPr>
            <w:tcW w:w="8388" w:type="dxa"/>
            <w:hideMark/>
          </w:tcPr>
          <w:p w:rsidR="005F13B5" w:rsidRPr="0052212F" w:rsidRDefault="0052212F" w:rsidP="0052212F">
            <w:pPr>
              <w:rPr>
                <w:rFonts w:ascii="Calibri" w:hAnsi="Calibri"/>
              </w:rPr>
            </w:pPr>
            <w:r w:rsidRPr="0052212F">
              <w:rPr>
                <w:rFonts w:ascii="Calibri" w:hAnsi="Calibri"/>
              </w:rPr>
              <w:t>Number of participants who received and exited career and training services within 3 years</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cnfStyle w:val="000000100000" w:firstRow="0" w:lastRow="0" w:firstColumn="0" w:lastColumn="0" w:oddVBand="0" w:evenVBand="0" w:oddHBand="1" w:evenHBand="0" w:firstRowFirstColumn="0" w:firstRowLastColumn="0" w:lastRowFirstColumn="0" w:lastRowLastColumn="0"/>
          <w:trHeight w:val="80"/>
        </w:trPr>
        <w:tc>
          <w:tcPr>
            <w:tcW w:w="8388" w:type="dxa"/>
            <w:hideMark/>
          </w:tcPr>
          <w:p w:rsidR="005F13B5" w:rsidRPr="0052212F" w:rsidRDefault="0052212F" w:rsidP="0052212F">
            <w:pPr>
              <w:rPr>
                <w:rFonts w:ascii="Calibri" w:hAnsi="Calibri"/>
              </w:rPr>
            </w:pPr>
            <w:r w:rsidRPr="0052212F">
              <w:rPr>
                <w:rFonts w:ascii="Calibri" w:hAnsi="Calibri"/>
              </w:rPr>
              <w:t>Average cost per participant for career and training services</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trHeight w:val="189"/>
        </w:trPr>
        <w:tc>
          <w:tcPr>
            <w:tcW w:w="8388" w:type="dxa"/>
            <w:hideMark/>
          </w:tcPr>
          <w:p w:rsidR="005F13B5" w:rsidRPr="0052212F" w:rsidRDefault="0052212F" w:rsidP="0052212F">
            <w:pPr>
              <w:rPr>
                <w:rFonts w:ascii="Calibri" w:hAnsi="Calibri"/>
              </w:rPr>
            </w:pPr>
            <w:r w:rsidRPr="0052212F">
              <w:rPr>
                <w:rFonts w:ascii="Calibri" w:hAnsi="Calibri"/>
              </w:rPr>
              <w:t>Percentage of participants who obtain unsubsidized employment in relevant field</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cnfStyle w:val="000000100000" w:firstRow="0" w:lastRow="0" w:firstColumn="0" w:lastColumn="0" w:oddVBand="0" w:evenVBand="0" w:oddHBand="1" w:evenHBand="0" w:firstRowFirstColumn="0" w:firstRowLastColumn="0" w:lastRowFirstColumn="0" w:lastRowLastColumn="0"/>
          <w:trHeight w:val="189"/>
        </w:trPr>
        <w:tc>
          <w:tcPr>
            <w:tcW w:w="8388" w:type="dxa"/>
            <w:hideMark/>
          </w:tcPr>
          <w:p w:rsidR="005F13B5" w:rsidRPr="0052212F" w:rsidRDefault="0052212F" w:rsidP="0052212F">
            <w:pPr>
              <w:rPr>
                <w:rFonts w:ascii="Calibri" w:hAnsi="Calibri"/>
              </w:rPr>
            </w:pPr>
            <w:r w:rsidRPr="0052212F">
              <w:rPr>
                <w:rFonts w:ascii="Calibri" w:hAnsi="Calibri"/>
              </w:rPr>
              <w:t>Number of individuals with barriers to employment served</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trHeight w:val="189"/>
        </w:trPr>
        <w:tc>
          <w:tcPr>
            <w:tcW w:w="8388" w:type="dxa"/>
            <w:hideMark/>
          </w:tcPr>
          <w:p w:rsidR="005F13B5" w:rsidRPr="0052212F" w:rsidRDefault="0052212F" w:rsidP="0052212F">
            <w:pPr>
              <w:rPr>
                <w:rFonts w:ascii="Calibri" w:hAnsi="Calibri"/>
              </w:rPr>
            </w:pPr>
            <w:r w:rsidRPr="0052212F">
              <w:rPr>
                <w:rFonts w:ascii="Calibri" w:hAnsi="Calibri"/>
              </w:rPr>
              <w:t>Number of participants co-enrolled</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cnfStyle w:val="000000100000" w:firstRow="0" w:lastRow="0" w:firstColumn="0" w:lastColumn="0" w:oddVBand="0" w:evenVBand="0" w:oddHBand="1" w:evenHBand="0" w:firstRowFirstColumn="0" w:firstRowLastColumn="0" w:lastRowFirstColumn="0" w:lastRowLastColumn="0"/>
          <w:trHeight w:val="189"/>
        </w:trPr>
        <w:tc>
          <w:tcPr>
            <w:tcW w:w="8388" w:type="dxa"/>
            <w:hideMark/>
          </w:tcPr>
          <w:p w:rsidR="005F13B5" w:rsidRPr="0052212F" w:rsidRDefault="0052212F" w:rsidP="0052212F">
            <w:pPr>
              <w:rPr>
                <w:rFonts w:ascii="Calibri" w:hAnsi="Calibri"/>
              </w:rPr>
            </w:pPr>
            <w:r w:rsidRPr="0052212F">
              <w:rPr>
                <w:rFonts w:ascii="Calibri" w:hAnsi="Calibri"/>
              </w:rPr>
              <w:t>Percentage of annual allotment spent on administrative costs</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r w:rsidR="0052212F" w:rsidRPr="0052212F" w:rsidTr="00C3681E">
        <w:trPr>
          <w:trHeight w:val="322"/>
        </w:trPr>
        <w:tc>
          <w:tcPr>
            <w:tcW w:w="8388" w:type="dxa"/>
            <w:hideMark/>
          </w:tcPr>
          <w:p w:rsidR="005F13B5" w:rsidRPr="0052212F" w:rsidRDefault="0052212F" w:rsidP="0052212F">
            <w:pPr>
              <w:rPr>
                <w:rFonts w:ascii="Calibri" w:hAnsi="Calibri"/>
              </w:rPr>
            </w:pPr>
            <w:r w:rsidRPr="0052212F">
              <w:rPr>
                <w:rFonts w:ascii="Calibri" w:hAnsi="Calibri"/>
              </w:rPr>
              <w:t>Other information for program comparisons with other States</w:t>
            </w:r>
          </w:p>
        </w:tc>
        <w:tc>
          <w:tcPr>
            <w:tcW w:w="810" w:type="dxa"/>
            <w:hideMark/>
          </w:tcPr>
          <w:p w:rsidR="005F13B5" w:rsidRPr="0052212F" w:rsidRDefault="0052212F" w:rsidP="0052212F">
            <w:pPr>
              <w:rPr>
                <w:rFonts w:ascii="Calibri" w:hAnsi="Calibri"/>
              </w:rPr>
            </w:pPr>
            <w:r w:rsidRPr="0052212F">
              <w:rPr>
                <w:rFonts w:ascii="Calibri" w:hAnsi="Calibri"/>
              </w:rPr>
              <w:t>X</w:t>
            </w:r>
          </w:p>
        </w:tc>
        <w:tc>
          <w:tcPr>
            <w:tcW w:w="720" w:type="dxa"/>
            <w:hideMark/>
          </w:tcPr>
          <w:p w:rsidR="005F13B5" w:rsidRPr="0052212F" w:rsidRDefault="0052212F" w:rsidP="0052212F">
            <w:pPr>
              <w:rPr>
                <w:rFonts w:ascii="Calibri" w:hAnsi="Calibri"/>
              </w:rPr>
            </w:pPr>
            <w:r w:rsidRPr="0052212F">
              <w:rPr>
                <w:rFonts w:ascii="Calibri" w:hAnsi="Calibri"/>
              </w:rPr>
              <w:t>X</w:t>
            </w:r>
          </w:p>
        </w:tc>
      </w:tr>
    </w:tbl>
    <w:p w:rsidR="0052212F" w:rsidRDefault="0052212F" w:rsidP="0052212F">
      <w:pPr>
        <w:spacing w:before="0" w:after="0" w:line="240" w:lineRule="auto"/>
        <w:rPr>
          <w:rFonts w:ascii="Calibri" w:hAnsi="Calibri"/>
        </w:rPr>
      </w:pPr>
    </w:p>
    <w:p w:rsidR="00F20BF6" w:rsidRPr="00F57D00" w:rsidRDefault="00F20BF6" w:rsidP="00C3681E">
      <w:pPr>
        <w:pStyle w:val="Heading4"/>
        <w:rPr>
          <w:color w:val="632423" w:themeColor="accent2" w:themeShade="80"/>
        </w:rPr>
      </w:pPr>
      <w:r w:rsidRPr="00F57D00">
        <w:rPr>
          <w:color w:val="632423" w:themeColor="accent2" w:themeShade="80"/>
        </w:rPr>
        <w:t>Evaluation of State Programs</w:t>
      </w:r>
    </w:p>
    <w:p w:rsidR="00F20BF6" w:rsidRPr="00027DD2" w:rsidRDefault="00F20BF6" w:rsidP="00C3681E">
      <w:pPr>
        <w:spacing w:before="0" w:after="0" w:line="240" w:lineRule="auto"/>
        <w:rPr>
          <w:rFonts w:ascii="Calibri" w:hAnsi="Calibri"/>
        </w:rPr>
      </w:pPr>
      <w:r w:rsidRPr="00027DD2">
        <w:rPr>
          <w:rFonts w:ascii="Calibri" w:hAnsi="Calibri"/>
        </w:rPr>
        <w:t>States are required to conduct evaluations of core programs to promote continuous improvement and achieve high level performance and outcomes</w:t>
      </w:r>
    </w:p>
    <w:p w:rsidR="00C3681E" w:rsidRDefault="00C3681E" w:rsidP="00C3681E">
      <w:pPr>
        <w:spacing w:before="0" w:after="0" w:line="240" w:lineRule="auto"/>
        <w:rPr>
          <w:rFonts w:ascii="Calibri" w:hAnsi="Calibri"/>
        </w:rPr>
      </w:pPr>
    </w:p>
    <w:p w:rsidR="00F20BF6" w:rsidRPr="00027DD2" w:rsidRDefault="00F20BF6" w:rsidP="00C3681E">
      <w:pPr>
        <w:spacing w:before="0" w:after="0" w:line="240" w:lineRule="auto"/>
        <w:rPr>
          <w:rFonts w:ascii="Calibri" w:hAnsi="Calibri"/>
        </w:rPr>
      </w:pPr>
      <w:r w:rsidRPr="00027DD2">
        <w:rPr>
          <w:rFonts w:ascii="Calibri" w:hAnsi="Calibri"/>
        </w:rPr>
        <w:t>Evaluations must be:</w:t>
      </w:r>
    </w:p>
    <w:p w:rsidR="00F20BF6" w:rsidRPr="00027DD2" w:rsidRDefault="00F20BF6" w:rsidP="00C3681E">
      <w:pPr>
        <w:numPr>
          <w:ilvl w:val="0"/>
          <w:numId w:val="27"/>
        </w:numPr>
        <w:spacing w:before="0" w:after="0" w:line="240" w:lineRule="auto"/>
        <w:rPr>
          <w:rFonts w:ascii="Calibri" w:hAnsi="Calibri"/>
        </w:rPr>
      </w:pPr>
      <w:r w:rsidRPr="00027DD2">
        <w:rPr>
          <w:rFonts w:ascii="Calibri" w:hAnsi="Calibri"/>
        </w:rPr>
        <w:t>Designed to use rigorous analytical and statistical methods that are reasonably feasible (such as use of control groups)</w:t>
      </w:r>
    </w:p>
    <w:p w:rsidR="00F20BF6" w:rsidRPr="00027DD2" w:rsidRDefault="00F20BF6" w:rsidP="00C3681E">
      <w:pPr>
        <w:numPr>
          <w:ilvl w:val="0"/>
          <w:numId w:val="27"/>
        </w:numPr>
        <w:spacing w:before="0" w:after="0" w:line="240" w:lineRule="auto"/>
        <w:rPr>
          <w:rFonts w:ascii="Calibri" w:hAnsi="Calibri"/>
        </w:rPr>
      </w:pPr>
      <w:r w:rsidRPr="00027DD2">
        <w:rPr>
          <w:rFonts w:ascii="Calibri" w:hAnsi="Calibri"/>
        </w:rPr>
        <w:t>Designed in conjunction with the State and local boards and State agencies responsible for core programs</w:t>
      </w:r>
    </w:p>
    <w:p w:rsidR="00F20BF6" w:rsidRPr="00027DD2" w:rsidRDefault="00F20BF6" w:rsidP="00C3681E">
      <w:pPr>
        <w:numPr>
          <w:ilvl w:val="0"/>
          <w:numId w:val="27"/>
        </w:numPr>
        <w:spacing w:before="0" w:after="0" w:line="240" w:lineRule="auto"/>
        <w:rPr>
          <w:rFonts w:ascii="Calibri" w:hAnsi="Calibri"/>
        </w:rPr>
      </w:pPr>
      <w:r w:rsidRPr="00027DD2">
        <w:rPr>
          <w:rFonts w:ascii="Calibri" w:hAnsi="Calibri"/>
        </w:rPr>
        <w:t>In cooperation with Federal evaluations</w:t>
      </w:r>
    </w:p>
    <w:p w:rsidR="00F20BF6" w:rsidRPr="00027DD2" w:rsidRDefault="00F20BF6" w:rsidP="00C3681E">
      <w:pPr>
        <w:numPr>
          <w:ilvl w:val="0"/>
          <w:numId w:val="27"/>
        </w:numPr>
        <w:spacing w:before="0" w:after="0" w:line="240" w:lineRule="auto"/>
        <w:rPr>
          <w:rFonts w:ascii="Calibri" w:hAnsi="Calibri"/>
        </w:rPr>
      </w:pPr>
      <w:r w:rsidRPr="00027DD2">
        <w:rPr>
          <w:rFonts w:ascii="Calibri" w:hAnsi="Calibri"/>
        </w:rPr>
        <w:t>Submitted annually to State and local boards and results made publicly available</w:t>
      </w:r>
    </w:p>
    <w:p w:rsidR="00C3681E" w:rsidRDefault="00C3681E" w:rsidP="00C3681E">
      <w:pPr>
        <w:spacing w:before="0" w:after="0" w:line="240" w:lineRule="auto"/>
        <w:rPr>
          <w:rFonts w:ascii="Calibri" w:hAnsi="Calibri"/>
        </w:rPr>
      </w:pPr>
    </w:p>
    <w:p w:rsidR="00F20BF6" w:rsidRPr="00F57D00" w:rsidRDefault="00F20BF6" w:rsidP="00C3681E">
      <w:pPr>
        <w:pStyle w:val="Heading4"/>
        <w:rPr>
          <w:color w:val="632423" w:themeColor="accent2" w:themeShade="80"/>
        </w:rPr>
      </w:pPr>
      <w:r w:rsidRPr="00F57D00">
        <w:rPr>
          <w:color w:val="632423" w:themeColor="accent2" w:themeShade="80"/>
        </w:rPr>
        <w:t xml:space="preserve">Fiscal and </w:t>
      </w:r>
      <w:r w:rsidR="00C3681E" w:rsidRPr="00F57D00">
        <w:rPr>
          <w:color w:val="632423" w:themeColor="accent2" w:themeShade="80"/>
        </w:rPr>
        <w:t>M</w:t>
      </w:r>
      <w:r w:rsidRPr="00F57D00">
        <w:rPr>
          <w:color w:val="632423" w:themeColor="accent2" w:themeShade="80"/>
        </w:rPr>
        <w:t xml:space="preserve">anagement </w:t>
      </w:r>
      <w:r w:rsidR="00C3681E" w:rsidRPr="00F57D00">
        <w:rPr>
          <w:color w:val="632423" w:themeColor="accent2" w:themeShade="80"/>
        </w:rPr>
        <w:t>A</w:t>
      </w:r>
      <w:r w:rsidRPr="00F57D00">
        <w:rPr>
          <w:color w:val="632423" w:themeColor="accent2" w:themeShade="80"/>
        </w:rPr>
        <w:t>ccountability</w:t>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rPr>
        <w:t>Funds under a core program must be used to support a fiscal and management accountability system</w:t>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rPr>
        <w:t>System based on guidelines established by the Secretaries to promote efficient data collection and use for reporting, monitoring, and preparing annual reports</w:t>
      </w:r>
    </w:p>
    <w:p w:rsidR="00F20BF6" w:rsidRPr="00027DD2" w:rsidRDefault="00C3681E" w:rsidP="00190AFA">
      <w:pPr>
        <w:numPr>
          <w:ilvl w:val="0"/>
          <w:numId w:val="27"/>
        </w:numPr>
        <w:spacing w:before="0" w:after="0" w:line="240" w:lineRule="auto"/>
        <w:rPr>
          <w:rFonts w:ascii="Calibri" w:hAnsi="Calibri"/>
        </w:rPr>
      </w:pPr>
      <w:r>
        <w:rPr>
          <w:rFonts w:ascii="Calibri" w:hAnsi="Calibri"/>
        </w:rPr>
        <w:t xml:space="preserve">U.S. </w:t>
      </w:r>
      <w:r w:rsidR="00F20BF6" w:rsidRPr="00027DD2">
        <w:rPr>
          <w:rFonts w:ascii="Calibri" w:hAnsi="Calibri"/>
        </w:rPr>
        <w:t>DOL must make arrangements to ensure States have access to quarterly wage records and interstate arrangements</w:t>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rPr>
        <w:t xml:space="preserve">Requirements must comply with Family Educational Rights and Privacy Act </w:t>
      </w:r>
      <w:r w:rsidR="00C3681E">
        <w:rPr>
          <w:rFonts w:ascii="Calibri" w:hAnsi="Calibri"/>
        </w:rPr>
        <w:t xml:space="preserve">(FERPA) </w:t>
      </w:r>
      <w:r w:rsidRPr="00027DD2">
        <w:rPr>
          <w:rFonts w:ascii="Calibri" w:hAnsi="Calibri"/>
        </w:rPr>
        <w:t>confidentiality provisions</w:t>
      </w:r>
    </w:p>
    <w:p w:rsidR="00200341" w:rsidRDefault="00200341" w:rsidP="00200341">
      <w:pPr>
        <w:spacing w:before="0" w:after="0" w:line="240" w:lineRule="auto"/>
        <w:rPr>
          <w:rFonts w:ascii="Calibri" w:hAnsi="Calibri"/>
          <w:b/>
          <w:bCs/>
        </w:rPr>
      </w:pPr>
    </w:p>
    <w:p w:rsidR="00F20BF6" w:rsidRPr="00027DD2" w:rsidRDefault="00F20BF6" w:rsidP="00F57D00">
      <w:pPr>
        <w:pStyle w:val="Heading2"/>
        <w:shd w:val="clear" w:color="auto" w:fill="244061" w:themeFill="accent1" w:themeFillShade="80"/>
      </w:pPr>
      <w:r w:rsidRPr="00027DD2">
        <w:t>Local Level Alignment under WIOA</w:t>
      </w:r>
    </w:p>
    <w:p w:rsidR="00F20BF6" w:rsidRPr="00F57D00" w:rsidRDefault="00F20BF6" w:rsidP="00216ECD">
      <w:pPr>
        <w:pStyle w:val="Heading3"/>
        <w:rPr>
          <w:color w:val="632423" w:themeColor="accent2" w:themeShade="80"/>
        </w:rPr>
      </w:pPr>
      <w:r w:rsidRPr="00F57D00">
        <w:rPr>
          <w:color w:val="632423" w:themeColor="accent2" w:themeShade="80"/>
        </w:rPr>
        <w:t>Key Local Alignment Provisions</w:t>
      </w:r>
      <w:r w:rsidRPr="00F57D00">
        <w:rPr>
          <w:color w:val="632423" w:themeColor="accent2" w:themeShade="80"/>
        </w:rPr>
        <w:tab/>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b/>
          <w:bCs/>
        </w:rPr>
        <w:t>Role and Responsibilities of Local Board</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t>Local board representation</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lastRenderedPageBreak/>
        <w:t>Local board functions</w:t>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b/>
          <w:bCs/>
        </w:rPr>
        <w:t>Eligible Provider Application Process</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t>Alignment with local plan</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t>Alignment with one-stop partner services</w:t>
      </w:r>
    </w:p>
    <w:p w:rsidR="00F20BF6" w:rsidRPr="00027DD2" w:rsidRDefault="00F20BF6" w:rsidP="00190AFA">
      <w:pPr>
        <w:numPr>
          <w:ilvl w:val="0"/>
          <w:numId w:val="27"/>
        </w:numPr>
        <w:spacing w:before="0" w:after="0" w:line="240" w:lineRule="auto"/>
        <w:rPr>
          <w:rFonts w:ascii="Calibri" w:hAnsi="Calibri"/>
        </w:rPr>
      </w:pPr>
      <w:r w:rsidRPr="00027DD2">
        <w:rPr>
          <w:rFonts w:ascii="Calibri" w:hAnsi="Calibri"/>
          <w:b/>
          <w:bCs/>
        </w:rPr>
        <w:t>One-Stop Partner Requirements</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t>Memorandum of Understanding (MOU) requirements</w:t>
      </w:r>
    </w:p>
    <w:p w:rsidR="00F20BF6" w:rsidRPr="00027DD2" w:rsidRDefault="00F20BF6" w:rsidP="00190AFA">
      <w:pPr>
        <w:numPr>
          <w:ilvl w:val="1"/>
          <w:numId w:val="27"/>
        </w:numPr>
        <w:spacing w:before="0" w:after="0" w:line="240" w:lineRule="auto"/>
        <w:rPr>
          <w:rFonts w:ascii="Calibri" w:hAnsi="Calibri"/>
        </w:rPr>
      </w:pPr>
      <w:r w:rsidRPr="00027DD2">
        <w:rPr>
          <w:rFonts w:ascii="Calibri" w:hAnsi="Calibri"/>
        </w:rPr>
        <w:t>One-stop partner contributions</w:t>
      </w:r>
    </w:p>
    <w:p w:rsidR="00216ECD" w:rsidRPr="00216ECD" w:rsidRDefault="00F20BF6" w:rsidP="00216ECD">
      <w:pPr>
        <w:numPr>
          <w:ilvl w:val="1"/>
          <w:numId w:val="27"/>
        </w:numPr>
        <w:spacing w:before="0" w:after="0" w:line="240" w:lineRule="auto"/>
        <w:rPr>
          <w:rFonts w:ascii="Calibri" w:hAnsi="Calibri"/>
        </w:rPr>
      </w:pPr>
      <w:r w:rsidRPr="00027DD2">
        <w:rPr>
          <w:rFonts w:ascii="Calibri" w:hAnsi="Calibri"/>
        </w:rPr>
        <w:t>Career services</w:t>
      </w:r>
    </w:p>
    <w:p w:rsidR="00F20BF6" w:rsidRPr="00F57D00" w:rsidRDefault="00F20BF6" w:rsidP="00216ECD">
      <w:pPr>
        <w:pStyle w:val="Heading3"/>
        <w:rPr>
          <w:color w:val="632423" w:themeColor="accent2" w:themeShade="80"/>
        </w:rPr>
      </w:pPr>
      <w:r w:rsidRPr="00F57D00">
        <w:rPr>
          <w:color w:val="632423" w:themeColor="accent2" w:themeShade="80"/>
        </w:rPr>
        <w:t>Title I Local Workforce Boards</w:t>
      </w:r>
    </w:p>
    <w:p w:rsidR="00F20BF6" w:rsidRPr="00027DD2" w:rsidRDefault="00F20BF6" w:rsidP="00216ECD">
      <w:pPr>
        <w:spacing w:before="0" w:after="0" w:line="240" w:lineRule="auto"/>
        <w:rPr>
          <w:rFonts w:ascii="Calibri" w:hAnsi="Calibri"/>
        </w:rPr>
      </w:pPr>
      <w:r w:rsidRPr="00027DD2">
        <w:rPr>
          <w:rFonts w:ascii="Calibri" w:hAnsi="Calibri"/>
          <w:b/>
          <w:bCs/>
        </w:rPr>
        <w:t xml:space="preserve">Local Board Membership </w:t>
      </w:r>
    </w:p>
    <w:p w:rsidR="00F20BF6" w:rsidRPr="00027DD2" w:rsidRDefault="00F20BF6" w:rsidP="00216ECD">
      <w:pPr>
        <w:numPr>
          <w:ilvl w:val="0"/>
          <w:numId w:val="27"/>
        </w:numPr>
        <w:spacing w:before="0" w:after="0" w:line="240" w:lineRule="auto"/>
        <w:rPr>
          <w:rFonts w:ascii="Calibri" w:hAnsi="Calibri"/>
        </w:rPr>
      </w:pPr>
      <w:r w:rsidRPr="00027DD2">
        <w:rPr>
          <w:rFonts w:ascii="Calibri" w:hAnsi="Calibri"/>
        </w:rPr>
        <w:t xml:space="preserve"> Business majority; 20% workforce representatives</w:t>
      </w:r>
    </w:p>
    <w:p w:rsidR="00F20BF6" w:rsidRPr="00027DD2" w:rsidRDefault="00F20BF6" w:rsidP="00216ECD">
      <w:pPr>
        <w:numPr>
          <w:ilvl w:val="0"/>
          <w:numId w:val="27"/>
        </w:numPr>
        <w:spacing w:before="0" w:after="0" w:line="240" w:lineRule="auto"/>
        <w:rPr>
          <w:rFonts w:ascii="Calibri" w:hAnsi="Calibri"/>
        </w:rPr>
      </w:pPr>
      <w:r w:rsidRPr="00027DD2">
        <w:rPr>
          <w:rFonts w:ascii="Calibri" w:hAnsi="Calibri"/>
        </w:rPr>
        <w:t xml:space="preserve"> </w:t>
      </w:r>
      <w:r w:rsidRPr="00027DD2">
        <w:rPr>
          <w:rFonts w:ascii="Calibri" w:hAnsi="Calibri"/>
          <w:b/>
          <w:bCs/>
        </w:rPr>
        <w:t>Required representation from eligible providers of adult education</w:t>
      </w:r>
    </w:p>
    <w:p w:rsidR="00F20BF6" w:rsidRPr="00027DD2" w:rsidRDefault="00F20BF6" w:rsidP="00216ECD">
      <w:pPr>
        <w:numPr>
          <w:ilvl w:val="0"/>
          <w:numId w:val="27"/>
        </w:numPr>
        <w:spacing w:before="0" w:after="0" w:line="240" w:lineRule="auto"/>
        <w:rPr>
          <w:rFonts w:ascii="Calibri" w:hAnsi="Calibri"/>
        </w:rPr>
      </w:pPr>
      <w:r w:rsidRPr="00027DD2">
        <w:rPr>
          <w:rFonts w:ascii="Calibri" w:hAnsi="Calibri"/>
        </w:rPr>
        <w:t xml:space="preserve"> Economic community development organizations (Wagner-</w:t>
      </w:r>
      <w:proofErr w:type="spellStart"/>
      <w:r w:rsidRPr="00027DD2">
        <w:rPr>
          <w:rFonts w:ascii="Calibri" w:hAnsi="Calibri"/>
        </w:rPr>
        <w:t>Peyser</w:t>
      </w:r>
      <w:proofErr w:type="spellEnd"/>
      <w:r w:rsidRPr="00027DD2">
        <w:rPr>
          <w:rFonts w:ascii="Calibri" w:hAnsi="Calibri"/>
        </w:rPr>
        <w:t>; Vocational Rehabilitation)</w:t>
      </w:r>
    </w:p>
    <w:p w:rsidR="00F20BF6" w:rsidRPr="00027DD2" w:rsidRDefault="00F20BF6" w:rsidP="00216ECD">
      <w:pPr>
        <w:numPr>
          <w:ilvl w:val="0"/>
          <w:numId w:val="27"/>
        </w:numPr>
        <w:spacing w:before="0" w:after="0" w:line="240" w:lineRule="auto"/>
        <w:rPr>
          <w:rFonts w:ascii="Calibri" w:hAnsi="Calibri"/>
        </w:rPr>
      </w:pPr>
      <w:r w:rsidRPr="00027DD2">
        <w:rPr>
          <w:rFonts w:ascii="Calibri" w:hAnsi="Calibri"/>
        </w:rPr>
        <w:t xml:space="preserve"> One-Stops </w:t>
      </w:r>
      <w:r w:rsidRPr="00027DD2">
        <w:rPr>
          <w:rFonts w:ascii="Calibri" w:hAnsi="Calibri"/>
          <w:i/>
          <w:iCs/>
          <w:u w:val="single"/>
        </w:rPr>
        <w:t>not</w:t>
      </w:r>
      <w:r w:rsidRPr="00027DD2">
        <w:rPr>
          <w:rFonts w:ascii="Calibri" w:hAnsi="Calibri"/>
        </w:rPr>
        <w:t xml:space="preserve"> a required member </w:t>
      </w:r>
    </w:p>
    <w:p w:rsidR="00F20BF6" w:rsidRPr="00027DD2" w:rsidRDefault="00F20BF6" w:rsidP="00216ECD">
      <w:pPr>
        <w:numPr>
          <w:ilvl w:val="0"/>
          <w:numId w:val="27"/>
        </w:numPr>
        <w:spacing w:before="0" w:after="0" w:line="240" w:lineRule="auto"/>
        <w:rPr>
          <w:rFonts w:ascii="Calibri" w:hAnsi="Calibri"/>
        </w:rPr>
      </w:pPr>
      <w:r w:rsidRPr="00027DD2">
        <w:rPr>
          <w:rFonts w:ascii="Calibri" w:hAnsi="Calibri"/>
        </w:rPr>
        <w:t xml:space="preserve"> </w:t>
      </w:r>
      <w:r w:rsidRPr="00027DD2">
        <w:rPr>
          <w:rFonts w:ascii="Calibri" w:hAnsi="Calibri"/>
          <w:b/>
          <w:bCs/>
          <w:u w:val="single"/>
        </w:rPr>
        <w:t>Special rule</w:t>
      </w:r>
      <w:r w:rsidRPr="00027DD2">
        <w:rPr>
          <w:rFonts w:ascii="Calibri" w:hAnsi="Calibri"/>
          <w:b/>
          <w:bCs/>
        </w:rPr>
        <w:t xml:space="preserve">: </w:t>
      </w:r>
      <w:r w:rsidRPr="00027DD2">
        <w:rPr>
          <w:rFonts w:ascii="Calibri" w:hAnsi="Calibri"/>
        </w:rPr>
        <w:t>In instances where there are multiple providers of adult education serving a local area, a representative must be appointed to the board through a nomination process</w:t>
      </w:r>
    </w:p>
    <w:p w:rsidR="005F13B5" w:rsidRDefault="005F13B5" w:rsidP="00216ECD">
      <w:pPr>
        <w:spacing w:before="0" w:after="0" w:line="240" w:lineRule="auto"/>
        <w:rPr>
          <w:rFonts w:ascii="Calibri" w:hAnsi="Calibri"/>
          <w:b/>
        </w:rPr>
      </w:pPr>
    </w:p>
    <w:p w:rsidR="00F20BF6" w:rsidRPr="00216ECD" w:rsidRDefault="005F13B5" w:rsidP="00216ECD">
      <w:pPr>
        <w:spacing w:before="0" w:after="0" w:line="240" w:lineRule="auto"/>
        <w:rPr>
          <w:rFonts w:ascii="Calibri" w:hAnsi="Calibri"/>
          <w:b/>
        </w:rPr>
      </w:pPr>
      <w:r>
        <w:rPr>
          <w:rFonts w:ascii="Calibri" w:hAnsi="Calibri"/>
          <w:b/>
        </w:rPr>
        <w:t>Enhanced Functions and</w:t>
      </w:r>
      <w:r w:rsidR="00F20BF6" w:rsidRPr="00216ECD">
        <w:rPr>
          <w:rFonts w:ascii="Calibri" w:hAnsi="Calibri"/>
          <w:b/>
        </w:rPr>
        <w:t xml:space="preserve"> Role of Local Boards</w:t>
      </w:r>
    </w:p>
    <w:p w:rsidR="005F13B5" w:rsidRPr="005F13B5" w:rsidRDefault="005F13B5" w:rsidP="00BE659C">
      <w:pPr>
        <w:numPr>
          <w:ilvl w:val="0"/>
          <w:numId w:val="39"/>
        </w:numPr>
        <w:spacing w:before="0" w:after="0" w:line="240" w:lineRule="auto"/>
        <w:rPr>
          <w:rFonts w:ascii="Calibri" w:hAnsi="Calibri"/>
        </w:rPr>
      </w:pPr>
      <w:r w:rsidRPr="005F13B5">
        <w:rPr>
          <w:rFonts w:ascii="Calibri" w:hAnsi="Calibri"/>
          <w:bCs/>
        </w:rPr>
        <w:t>Develop 4-year local plan to support State plan strategy</w:t>
      </w:r>
    </w:p>
    <w:p w:rsidR="005F13B5" w:rsidRPr="005F13B5" w:rsidRDefault="005F13B5" w:rsidP="00BE659C">
      <w:pPr>
        <w:numPr>
          <w:ilvl w:val="0"/>
          <w:numId w:val="39"/>
        </w:numPr>
        <w:spacing w:before="0" w:after="0" w:line="240" w:lineRule="auto"/>
        <w:rPr>
          <w:rFonts w:ascii="Calibri" w:hAnsi="Calibri"/>
        </w:rPr>
      </w:pPr>
      <w:r w:rsidRPr="005F13B5">
        <w:rPr>
          <w:rFonts w:ascii="Calibri" w:hAnsi="Calibri"/>
          <w:bCs/>
        </w:rPr>
        <w:t>Analysis of regional conditions</w:t>
      </w:r>
    </w:p>
    <w:p w:rsidR="005F13B5" w:rsidRPr="005F13B5" w:rsidRDefault="005F13B5" w:rsidP="00BE659C">
      <w:pPr>
        <w:numPr>
          <w:ilvl w:val="0"/>
          <w:numId w:val="39"/>
        </w:numPr>
        <w:spacing w:before="0" w:after="0" w:line="240" w:lineRule="auto"/>
        <w:rPr>
          <w:rFonts w:ascii="Calibri" w:hAnsi="Calibri"/>
        </w:rPr>
      </w:pPr>
      <w:r w:rsidRPr="005F13B5">
        <w:rPr>
          <w:rFonts w:ascii="Calibri" w:hAnsi="Calibri"/>
          <w:bCs/>
        </w:rPr>
        <w:t>Develop and implement career pathways</w:t>
      </w:r>
    </w:p>
    <w:p w:rsidR="005F13B5" w:rsidRPr="005F13B5" w:rsidRDefault="005F13B5" w:rsidP="00BE659C">
      <w:pPr>
        <w:numPr>
          <w:ilvl w:val="0"/>
          <w:numId w:val="39"/>
        </w:numPr>
        <w:spacing w:before="0" w:after="0" w:line="240" w:lineRule="auto"/>
        <w:rPr>
          <w:rFonts w:ascii="Calibri" w:hAnsi="Calibri"/>
        </w:rPr>
      </w:pPr>
      <w:r w:rsidRPr="005F13B5">
        <w:rPr>
          <w:rFonts w:ascii="Calibri" w:hAnsi="Calibri"/>
          <w:bCs/>
        </w:rPr>
        <w:t>Engage and develop effective linkages with employers</w:t>
      </w:r>
    </w:p>
    <w:p w:rsidR="005F13B5" w:rsidRPr="005F13B5" w:rsidRDefault="005F13B5" w:rsidP="00BE659C">
      <w:pPr>
        <w:numPr>
          <w:ilvl w:val="0"/>
          <w:numId w:val="39"/>
        </w:numPr>
        <w:spacing w:before="0" w:after="0" w:line="240" w:lineRule="auto"/>
        <w:rPr>
          <w:rFonts w:ascii="Calibri" w:hAnsi="Calibri"/>
        </w:rPr>
      </w:pPr>
      <w:r w:rsidRPr="005F13B5">
        <w:rPr>
          <w:rFonts w:ascii="Calibri" w:hAnsi="Calibri"/>
          <w:bCs/>
        </w:rPr>
        <w:t>Align technology and leverage resources</w:t>
      </w:r>
    </w:p>
    <w:p w:rsidR="00216ECD" w:rsidRPr="005F13B5" w:rsidRDefault="005F13B5" w:rsidP="00BE659C">
      <w:pPr>
        <w:numPr>
          <w:ilvl w:val="0"/>
          <w:numId w:val="39"/>
        </w:numPr>
        <w:spacing w:before="0" w:after="0" w:line="240" w:lineRule="auto"/>
        <w:rPr>
          <w:rFonts w:ascii="Calibri" w:hAnsi="Calibri"/>
        </w:rPr>
      </w:pPr>
      <w:r w:rsidRPr="005F13B5">
        <w:rPr>
          <w:rFonts w:ascii="Calibri" w:hAnsi="Calibri"/>
          <w:bCs/>
        </w:rPr>
        <w:t>Review of adult education local provider applications</w:t>
      </w:r>
    </w:p>
    <w:p w:rsidR="00F20BF6" w:rsidRPr="00F57D00" w:rsidRDefault="00F20BF6" w:rsidP="00200341">
      <w:pPr>
        <w:pStyle w:val="Heading3"/>
        <w:rPr>
          <w:color w:val="632423" w:themeColor="accent2" w:themeShade="80"/>
        </w:rPr>
      </w:pPr>
      <w:r w:rsidRPr="00F57D00">
        <w:rPr>
          <w:color w:val="632423" w:themeColor="accent2" w:themeShade="80"/>
        </w:rPr>
        <w:t>Title II - Local Applications</w:t>
      </w:r>
    </w:p>
    <w:p w:rsidR="00F20BF6" w:rsidRPr="00F57D00" w:rsidRDefault="00F20BF6" w:rsidP="00200341">
      <w:pPr>
        <w:pStyle w:val="Heading4"/>
        <w:rPr>
          <w:color w:val="632423" w:themeColor="accent2" w:themeShade="80"/>
        </w:rPr>
      </w:pPr>
      <w:r w:rsidRPr="00F57D00">
        <w:rPr>
          <w:color w:val="632423" w:themeColor="accent2" w:themeShade="80"/>
        </w:rPr>
        <w:t>C</w:t>
      </w:r>
      <w:r w:rsidR="005F13B5" w:rsidRPr="00F57D00">
        <w:rPr>
          <w:color w:val="632423" w:themeColor="accent2" w:themeShade="80"/>
        </w:rPr>
        <w:t>hanges How States Compete Funds</w:t>
      </w:r>
    </w:p>
    <w:p w:rsidR="00F20BF6" w:rsidRPr="00027DD2" w:rsidRDefault="00F20BF6" w:rsidP="00190AFA">
      <w:pPr>
        <w:numPr>
          <w:ilvl w:val="0"/>
          <w:numId w:val="28"/>
        </w:numPr>
        <w:spacing w:before="0" w:after="0" w:line="240" w:lineRule="auto"/>
        <w:rPr>
          <w:rFonts w:ascii="Calibri" w:hAnsi="Calibri"/>
        </w:rPr>
      </w:pPr>
      <w:r w:rsidRPr="00027DD2">
        <w:rPr>
          <w:rFonts w:ascii="Calibri" w:hAnsi="Calibri"/>
        </w:rPr>
        <w:t xml:space="preserve">Sets forth five new local application requirements, including those aimed at </w:t>
      </w:r>
      <w:r w:rsidRPr="00027DD2">
        <w:rPr>
          <w:rFonts w:ascii="Calibri" w:hAnsi="Calibri"/>
          <w:b/>
          <w:bCs/>
        </w:rPr>
        <w:t>alignment with local workforce plans</w:t>
      </w:r>
      <w:r w:rsidRPr="00027DD2">
        <w:rPr>
          <w:rFonts w:ascii="Calibri" w:hAnsi="Calibri"/>
        </w:rPr>
        <w:t xml:space="preserve"> and participation in the one-stop system</w:t>
      </w:r>
    </w:p>
    <w:p w:rsidR="00F20BF6" w:rsidRPr="00027DD2" w:rsidRDefault="00F20BF6" w:rsidP="00190AFA">
      <w:pPr>
        <w:numPr>
          <w:ilvl w:val="0"/>
          <w:numId w:val="28"/>
        </w:numPr>
        <w:spacing w:before="0" w:after="0" w:line="240" w:lineRule="auto"/>
        <w:rPr>
          <w:rFonts w:ascii="Calibri" w:hAnsi="Calibri"/>
        </w:rPr>
      </w:pPr>
      <w:r w:rsidRPr="00027DD2">
        <w:rPr>
          <w:rFonts w:ascii="Calibri" w:hAnsi="Calibri"/>
          <w:b/>
          <w:bCs/>
        </w:rPr>
        <w:t xml:space="preserve">Revises considerations </w:t>
      </w:r>
      <w:r w:rsidRPr="00027DD2">
        <w:rPr>
          <w:rFonts w:ascii="Calibri" w:hAnsi="Calibri"/>
        </w:rPr>
        <w:t>that must be used in awarding grants</w:t>
      </w:r>
    </w:p>
    <w:p w:rsidR="00F20BF6" w:rsidRPr="00F57D00" w:rsidRDefault="00F20BF6" w:rsidP="005F13B5">
      <w:pPr>
        <w:pStyle w:val="Heading4"/>
        <w:rPr>
          <w:color w:val="632423" w:themeColor="accent2" w:themeShade="80"/>
        </w:rPr>
      </w:pPr>
      <w:r w:rsidRPr="00F57D00">
        <w:rPr>
          <w:color w:val="632423" w:themeColor="accent2" w:themeShade="80"/>
        </w:rPr>
        <w:t>Local Application Requirements</w:t>
      </w:r>
    </w:p>
    <w:tbl>
      <w:tblPr>
        <w:tblStyle w:val="MediumShading2-Accent2"/>
        <w:tblW w:w="9198" w:type="dxa"/>
        <w:tblLook w:val="0420" w:firstRow="1" w:lastRow="0" w:firstColumn="0" w:lastColumn="0" w:noHBand="0" w:noVBand="1"/>
      </w:tblPr>
      <w:tblGrid>
        <w:gridCol w:w="3528"/>
        <w:gridCol w:w="5670"/>
      </w:tblGrid>
      <w:tr w:rsidR="005F13B5" w:rsidRPr="005F13B5" w:rsidTr="00F57D00">
        <w:trPr>
          <w:cnfStyle w:val="100000000000" w:firstRow="1" w:lastRow="0" w:firstColumn="0" w:lastColumn="0" w:oddVBand="0" w:evenVBand="0" w:oddHBand="0" w:evenHBand="0" w:firstRowFirstColumn="0" w:firstRowLastColumn="0" w:lastRowFirstColumn="0" w:lastRowLastColumn="0"/>
          <w:trHeight w:val="232"/>
          <w:tblHeader/>
        </w:trPr>
        <w:tc>
          <w:tcPr>
            <w:tcW w:w="3528" w:type="dxa"/>
            <w:shd w:val="clear" w:color="auto" w:fill="244061" w:themeFill="accent1" w:themeFillShade="80"/>
            <w:hideMark/>
          </w:tcPr>
          <w:p w:rsidR="005F13B5" w:rsidRPr="005F13B5" w:rsidRDefault="005F13B5" w:rsidP="005F13B5">
            <w:pPr>
              <w:spacing w:line="276" w:lineRule="auto"/>
            </w:pPr>
            <w:r w:rsidRPr="005F13B5">
              <w:t>WIA</w:t>
            </w:r>
          </w:p>
        </w:tc>
        <w:tc>
          <w:tcPr>
            <w:tcW w:w="5670" w:type="dxa"/>
            <w:shd w:val="clear" w:color="auto" w:fill="244061" w:themeFill="accent1" w:themeFillShade="80"/>
            <w:hideMark/>
          </w:tcPr>
          <w:p w:rsidR="005F13B5" w:rsidRPr="005F13B5" w:rsidRDefault="005F13B5" w:rsidP="005F13B5">
            <w:pPr>
              <w:spacing w:line="276" w:lineRule="auto"/>
            </w:pPr>
            <w:r w:rsidRPr="005F13B5">
              <w:t>WIOA</w:t>
            </w:r>
          </w:p>
        </w:tc>
      </w:tr>
      <w:tr w:rsidR="005F13B5" w:rsidRPr="005F13B5" w:rsidTr="00F57D00">
        <w:trPr>
          <w:cnfStyle w:val="000000100000" w:firstRow="0" w:lastRow="0" w:firstColumn="0" w:lastColumn="0" w:oddVBand="0" w:evenVBand="0" w:oddHBand="1" w:evenHBand="0" w:firstRowFirstColumn="0" w:firstRowLastColumn="0" w:lastRowFirstColumn="0" w:lastRowLastColumn="0"/>
          <w:trHeight w:val="585"/>
        </w:trPr>
        <w:tc>
          <w:tcPr>
            <w:tcW w:w="9198" w:type="dxa"/>
            <w:gridSpan w:val="2"/>
            <w:shd w:val="clear" w:color="auto" w:fill="632423" w:themeFill="accent2" w:themeFillShade="80"/>
            <w:hideMark/>
          </w:tcPr>
          <w:p w:rsidR="005F13B5" w:rsidRPr="005F13B5" w:rsidRDefault="005F13B5" w:rsidP="005F13B5">
            <w:pPr>
              <w:spacing w:line="276" w:lineRule="auto"/>
              <w:rPr>
                <w:color w:val="FFFFFF" w:themeColor="background1"/>
              </w:rPr>
            </w:pPr>
            <w:r w:rsidRPr="005F13B5">
              <w:rPr>
                <w:color w:val="FFFFFF" w:themeColor="background1"/>
              </w:rPr>
              <w:t>Eligible providers desiring a grant or contract shall submit an application to the eligible agency containing the following information and assurances, including:</w:t>
            </w:r>
          </w:p>
        </w:tc>
      </w:tr>
      <w:tr w:rsidR="005F13B5" w:rsidRPr="005F13B5" w:rsidTr="00F57D00">
        <w:trPr>
          <w:trHeight w:val="270"/>
        </w:trPr>
        <w:tc>
          <w:tcPr>
            <w:tcW w:w="3528" w:type="dxa"/>
            <w:hideMark/>
          </w:tcPr>
          <w:p w:rsidR="005F13B5" w:rsidRPr="005F13B5" w:rsidRDefault="005F13B5" w:rsidP="005F13B5">
            <w:pPr>
              <w:spacing w:line="276" w:lineRule="auto"/>
            </w:pPr>
            <w:r w:rsidRPr="005F13B5">
              <w:t>A description of how funds awarded will be spent</w:t>
            </w:r>
          </w:p>
        </w:tc>
        <w:tc>
          <w:tcPr>
            <w:tcW w:w="5670" w:type="dxa"/>
            <w:hideMark/>
          </w:tcPr>
          <w:p w:rsidR="005F13B5" w:rsidRPr="005F13B5" w:rsidRDefault="005F13B5" w:rsidP="005F13B5">
            <w:pPr>
              <w:spacing w:line="276" w:lineRule="auto"/>
            </w:pPr>
            <w:r w:rsidRPr="005F13B5">
              <w:t>Same two requirements under WIA and adds the following descriptions:</w:t>
            </w:r>
          </w:p>
        </w:tc>
      </w:tr>
      <w:tr w:rsidR="005F13B5" w:rsidRPr="005F13B5" w:rsidTr="00F57D00">
        <w:trPr>
          <w:cnfStyle w:val="000000100000" w:firstRow="0" w:lastRow="0" w:firstColumn="0" w:lastColumn="0" w:oddVBand="0" w:evenVBand="0" w:oddHBand="1" w:evenHBand="0" w:firstRowFirstColumn="0" w:firstRowLastColumn="0" w:lastRowFirstColumn="0" w:lastRowLastColumn="0"/>
          <w:trHeight w:val="900"/>
        </w:trPr>
        <w:tc>
          <w:tcPr>
            <w:tcW w:w="3528" w:type="dxa"/>
            <w:hideMark/>
          </w:tcPr>
          <w:p w:rsidR="005F13B5" w:rsidRPr="005F13B5" w:rsidRDefault="005F13B5" w:rsidP="005F13B5">
            <w:pPr>
              <w:spacing w:line="276" w:lineRule="auto"/>
            </w:pPr>
            <w:r w:rsidRPr="005F13B5">
              <w:t>A description of any cooperative arrangements the eligible provider has with other agencies, institutions, or organizations</w:t>
            </w:r>
          </w:p>
        </w:tc>
        <w:tc>
          <w:tcPr>
            <w:tcW w:w="5670" w:type="dxa"/>
            <w:hideMark/>
          </w:tcPr>
          <w:p w:rsidR="005F13B5" w:rsidRPr="005F13B5" w:rsidRDefault="005F13B5" w:rsidP="005F13B5">
            <w:pPr>
              <w:spacing w:line="276" w:lineRule="auto"/>
            </w:pPr>
            <w:r w:rsidRPr="005F13B5">
              <w:t>How eligible provider will provide services in alignment with local plan, including how provider will promote concurrent enrollment with title I programs and activities</w:t>
            </w:r>
          </w:p>
        </w:tc>
      </w:tr>
      <w:tr w:rsidR="005F13B5" w:rsidRPr="005F13B5" w:rsidTr="00F57D00">
        <w:trPr>
          <w:trHeight w:val="630"/>
        </w:trPr>
        <w:tc>
          <w:tcPr>
            <w:tcW w:w="3528" w:type="dxa"/>
            <w:hideMark/>
          </w:tcPr>
          <w:p w:rsidR="005F13B5" w:rsidRPr="005F13B5" w:rsidRDefault="005F13B5" w:rsidP="005F13B5">
            <w:pPr>
              <w:spacing w:line="276" w:lineRule="auto"/>
            </w:pPr>
          </w:p>
        </w:tc>
        <w:tc>
          <w:tcPr>
            <w:tcW w:w="5670" w:type="dxa"/>
            <w:hideMark/>
          </w:tcPr>
          <w:p w:rsidR="005F13B5" w:rsidRPr="005F13B5" w:rsidRDefault="005F13B5" w:rsidP="005F13B5">
            <w:pPr>
              <w:spacing w:line="276" w:lineRule="auto"/>
            </w:pPr>
            <w:r w:rsidRPr="005F13B5">
              <w:t>How eligible provider will meet the State adjusted levels of performance and collect data to report on performance indicators</w:t>
            </w:r>
          </w:p>
        </w:tc>
      </w:tr>
      <w:tr w:rsidR="005F13B5" w:rsidRPr="005F13B5" w:rsidTr="00F57D00">
        <w:trPr>
          <w:cnfStyle w:val="000000100000" w:firstRow="0" w:lastRow="0" w:firstColumn="0" w:lastColumn="0" w:oddVBand="0" w:evenVBand="0" w:oddHBand="1" w:evenHBand="0" w:firstRowFirstColumn="0" w:firstRowLastColumn="0" w:lastRowFirstColumn="0" w:lastRowLastColumn="0"/>
          <w:trHeight w:val="270"/>
        </w:trPr>
        <w:tc>
          <w:tcPr>
            <w:tcW w:w="3528" w:type="dxa"/>
            <w:hideMark/>
          </w:tcPr>
          <w:p w:rsidR="005F13B5" w:rsidRPr="005F13B5" w:rsidRDefault="005F13B5" w:rsidP="005F13B5">
            <w:pPr>
              <w:spacing w:line="276" w:lineRule="auto"/>
            </w:pPr>
          </w:p>
        </w:tc>
        <w:tc>
          <w:tcPr>
            <w:tcW w:w="5670" w:type="dxa"/>
            <w:hideMark/>
          </w:tcPr>
          <w:p w:rsidR="005F13B5" w:rsidRPr="005F13B5" w:rsidRDefault="005F13B5" w:rsidP="005F13B5">
            <w:pPr>
              <w:spacing w:line="276" w:lineRule="auto"/>
            </w:pPr>
            <w:r w:rsidRPr="005F13B5">
              <w:t>How eligible provider will fulfill one-stop responsibilities</w:t>
            </w:r>
          </w:p>
        </w:tc>
      </w:tr>
      <w:tr w:rsidR="005F13B5" w:rsidRPr="005F13B5" w:rsidTr="00F57D00">
        <w:trPr>
          <w:trHeight w:val="207"/>
        </w:trPr>
        <w:tc>
          <w:tcPr>
            <w:tcW w:w="3528" w:type="dxa"/>
            <w:hideMark/>
          </w:tcPr>
          <w:p w:rsidR="005F13B5" w:rsidRPr="005F13B5" w:rsidRDefault="005F13B5" w:rsidP="005F13B5">
            <w:pPr>
              <w:spacing w:line="276" w:lineRule="auto"/>
            </w:pPr>
          </w:p>
        </w:tc>
        <w:tc>
          <w:tcPr>
            <w:tcW w:w="5670" w:type="dxa"/>
            <w:hideMark/>
          </w:tcPr>
          <w:p w:rsidR="005F13B5" w:rsidRPr="005F13B5" w:rsidRDefault="005F13B5" w:rsidP="005F13B5">
            <w:pPr>
              <w:spacing w:line="276" w:lineRule="auto"/>
            </w:pPr>
            <w:r w:rsidRPr="005F13B5">
              <w:t>How provider will meet the needs of eligible individuals</w:t>
            </w:r>
          </w:p>
        </w:tc>
      </w:tr>
      <w:tr w:rsidR="005F13B5" w:rsidRPr="005F13B5" w:rsidTr="00F57D00">
        <w:trPr>
          <w:cnfStyle w:val="000000100000" w:firstRow="0" w:lastRow="0" w:firstColumn="0" w:lastColumn="0" w:oddVBand="0" w:evenVBand="0" w:oddHBand="1" w:evenHBand="0" w:firstRowFirstColumn="0" w:firstRowLastColumn="0" w:lastRowFirstColumn="0" w:lastRowLastColumn="0"/>
          <w:trHeight w:val="358"/>
        </w:trPr>
        <w:tc>
          <w:tcPr>
            <w:tcW w:w="3528" w:type="dxa"/>
            <w:hideMark/>
          </w:tcPr>
          <w:p w:rsidR="005F13B5" w:rsidRPr="005F13B5" w:rsidRDefault="005F13B5" w:rsidP="005F13B5">
            <w:pPr>
              <w:spacing w:line="276" w:lineRule="auto"/>
            </w:pPr>
          </w:p>
        </w:tc>
        <w:tc>
          <w:tcPr>
            <w:tcW w:w="5670" w:type="dxa"/>
            <w:hideMark/>
          </w:tcPr>
          <w:p w:rsidR="005F13B5" w:rsidRPr="005F13B5" w:rsidRDefault="005F13B5" w:rsidP="005F13B5">
            <w:pPr>
              <w:spacing w:line="276" w:lineRule="auto"/>
            </w:pPr>
            <w:r w:rsidRPr="005F13B5">
              <w:t>Information that addresses the 13 considerations</w:t>
            </w:r>
          </w:p>
        </w:tc>
      </w:tr>
    </w:tbl>
    <w:p w:rsidR="00F20BF6" w:rsidRPr="00F57D00" w:rsidRDefault="00F20BF6" w:rsidP="00200341">
      <w:pPr>
        <w:pStyle w:val="Heading4"/>
        <w:rPr>
          <w:color w:val="632423" w:themeColor="accent2" w:themeShade="80"/>
        </w:rPr>
      </w:pPr>
      <w:r w:rsidRPr="00F57D00">
        <w:rPr>
          <w:color w:val="632423" w:themeColor="accent2" w:themeShade="80"/>
        </w:rPr>
        <w:lastRenderedPageBreak/>
        <w:t>13 Considerations</w:t>
      </w:r>
    </w:p>
    <w:p w:rsidR="00F20BF6" w:rsidRPr="005F13B5" w:rsidRDefault="00F20BF6" w:rsidP="00BE659C">
      <w:pPr>
        <w:pStyle w:val="ListParagraph"/>
        <w:numPr>
          <w:ilvl w:val="0"/>
          <w:numId w:val="40"/>
        </w:numPr>
      </w:pPr>
      <w:r w:rsidRPr="005F13B5">
        <w:t>Responsive to regional needs in local plan and serving individuals most in need</w:t>
      </w:r>
    </w:p>
    <w:p w:rsidR="00F20BF6" w:rsidRPr="005F13B5" w:rsidRDefault="00F20BF6" w:rsidP="00BE659C">
      <w:pPr>
        <w:pStyle w:val="ListParagraph"/>
        <w:numPr>
          <w:ilvl w:val="0"/>
          <w:numId w:val="40"/>
        </w:numPr>
      </w:pPr>
      <w:r w:rsidRPr="005F13B5">
        <w:t>Ability to serve eligible individuals with disabilities, including learning disabilities</w:t>
      </w:r>
    </w:p>
    <w:p w:rsidR="00F20BF6" w:rsidRPr="005F13B5" w:rsidRDefault="00F20BF6" w:rsidP="00BE659C">
      <w:pPr>
        <w:pStyle w:val="ListParagraph"/>
        <w:numPr>
          <w:ilvl w:val="0"/>
          <w:numId w:val="40"/>
        </w:numPr>
      </w:pPr>
      <w:r w:rsidRPr="005F13B5">
        <w:t>Past effectiveness in improving literacy skills</w:t>
      </w:r>
    </w:p>
    <w:p w:rsidR="00F20BF6" w:rsidRPr="005F13B5" w:rsidRDefault="00F20BF6" w:rsidP="00BE659C">
      <w:pPr>
        <w:pStyle w:val="ListParagraph"/>
        <w:numPr>
          <w:ilvl w:val="0"/>
          <w:numId w:val="40"/>
        </w:numPr>
      </w:pPr>
      <w:r w:rsidRPr="005F13B5">
        <w:t>Alignment between proposed activities and services with strategy and goals of local plan and services of one-stop partners</w:t>
      </w:r>
    </w:p>
    <w:p w:rsidR="00F20BF6" w:rsidRPr="005F13B5" w:rsidRDefault="00F20BF6" w:rsidP="00BE659C">
      <w:pPr>
        <w:pStyle w:val="ListParagraph"/>
        <w:numPr>
          <w:ilvl w:val="0"/>
          <w:numId w:val="40"/>
        </w:numPr>
      </w:pPr>
      <w:r w:rsidRPr="005F13B5">
        <w:t>Program is of sufficient intensity and quality, based on rigorous research, and uses instructional practices</w:t>
      </w:r>
    </w:p>
    <w:p w:rsidR="00F20BF6" w:rsidRPr="005F13B5" w:rsidRDefault="00F20BF6" w:rsidP="00BE659C">
      <w:pPr>
        <w:pStyle w:val="ListParagraph"/>
        <w:numPr>
          <w:ilvl w:val="0"/>
          <w:numId w:val="40"/>
        </w:numPr>
      </w:pPr>
      <w:r w:rsidRPr="005F13B5">
        <w:t xml:space="preserve">Provider activities are based on best practices derived from rigorous and scientifically valid research and effective educational practice </w:t>
      </w:r>
    </w:p>
    <w:p w:rsidR="00F20BF6" w:rsidRPr="005F13B5" w:rsidRDefault="00F20BF6" w:rsidP="00BE659C">
      <w:pPr>
        <w:pStyle w:val="ListParagraph"/>
        <w:numPr>
          <w:ilvl w:val="0"/>
          <w:numId w:val="40"/>
        </w:numPr>
      </w:pPr>
      <w:r w:rsidRPr="005F13B5">
        <w:t>Effective use of technology, services, and delivery systems to increase the quality of learning</w:t>
      </w:r>
    </w:p>
    <w:p w:rsidR="00F20BF6" w:rsidRPr="005F13B5" w:rsidRDefault="00F20BF6" w:rsidP="00BE659C">
      <w:pPr>
        <w:pStyle w:val="ListParagraph"/>
        <w:numPr>
          <w:ilvl w:val="0"/>
          <w:numId w:val="40"/>
        </w:numPr>
      </w:pPr>
      <w:r w:rsidRPr="005F13B5">
        <w:t>Provide learning in context, including through integrated education and training, to assist in transition to and completion of postsecondary education and training, and obtaining employment</w:t>
      </w:r>
    </w:p>
    <w:p w:rsidR="00F20BF6" w:rsidRPr="005F13B5" w:rsidRDefault="00F20BF6" w:rsidP="00BE659C">
      <w:pPr>
        <w:pStyle w:val="ListParagraph"/>
        <w:numPr>
          <w:ilvl w:val="0"/>
          <w:numId w:val="40"/>
        </w:numPr>
      </w:pPr>
      <w:r w:rsidRPr="005F13B5">
        <w:t xml:space="preserve">Activities delivered by instructors who meet the minimum qualifications established by the State </w:t>
      </w:r>
    </w:p>
    <w:p w:rsidR="00F20BF6" w:rsidRPr="005F13B5" w:rsidRDefault="00F20BF6" w:rsidP="00BE659C">
      <w:pPr>
        <w:pStyle w:val="ListParagraph"/>
        <w:numPr>
          <w:ilvl w:val="0"/>
          <w:numId w:val="40"/>
        </w:numPr>
      </w:pPr>
      <w:r w:rsidRPr="005F13B5">
        <w:t>Coordination with other education, training, and social service resources in the community</w:t>
      </w:r>
    </w:p>
    <w:p w:rsidR="00F20BF6" w:rsidRPr="005F13B5" w:rsidRDefault="00F20BF6" w:rsidP="00BE659C">
      <w:pPr>
        <w:pStyle w:val="ListParagraph"/>
        <w:numPr>
          <w:ilvl w:val="0"/>
          <w:numId w:val="40"/>
        </w:numPr>
      </w:pPr>
      <w:r w:rsidRPr="005F13B5">
        <w:t>Activities offer flexible schedules and coordination with support services necessary to enable individuals to attend and complete programs</w:t>
      </w:r>
    </w:p>
    <w:p w:rsidR="00F20BF6" w:rsidRPr="005F13B5" w:rsidRDefault="00F20BF6" w:rsidP="00BE659C">
      <w:pPr>
        <w:pStyle w:val="ListParagraph"/>
        <w:numPr>
          <w:ilvl w:val="0"/>
          <w:numId w:val="40"/>
        </w:numPr>
      </w:pPr>
      <w:r w:rsidRPr="005F13B5">
        <w:t>Provider maintains a high-quality information management system to report participant outcomes and monitor program performance</w:t>
      </w:r>
    </w:p>
    <w:p w:rsidR="00F20BF6" w:rsidRPr="005F13B5" w:rsidRDefault="00F20BF6" w:rsidP="00BE659C">
      <w:pPr>
        <w:pStyle w:val="ListParagraph"/>
        <w:numPr>
          <w:ilvl w:val="0"/>
          <w:numId w:val="40"/>
        </w:numPr>
      </w:pPr>
      <w:r w:rsidRPr="005F13B5">
        <w:t>Local areas where provider is located have demonstrated need for additional English acquisition and civics education programs</w:t>
      </w:r>
    </w:p>
    <w:p w:rsidR="00BE659C" w:rsidRPr="00F57D00" w:rsidRDefault="00BE659C" w:rsidP="00BE659C">
      <w:pPr>
        <w:spacing w:before="0" w:after="0" w:line="240" w:lineRule="auto"/>
        <w:rPr>
          <w:rFonts w:ascii="Calibri" w:hAnsi="Calibri"/>
          <w:b/>
          <w:bCs/>
          <w:color w:val="632423" w:themeColor="accent2" w:themeShade="80"/>
        </w:rPr>
      </w:pPr>
    </w:p>
    <w:p w:rsidR="00F20BF6" w:rsidRPr="00F57D00" w:rsidRDefault="00F20BF6" w:rsidP="00BE659C">
      <w:pPr>
        <w:spacing w:before="0" w:after="0" w:line="240" w:lineRule="auto"/>
        <w:rPr>
          <w:rFonts w:ascii="Calibri" w:hAnsi="Calibri"/>
          <w:color w:val="632423" w:themeColor="accent2" w:themeShade="80"/>
        </w:rPr>
      </w:pPr>
      <w:r w:rsidRPr="00F57D00">
        <w:rPr>
          <w:rFonts w:ascii="Calibri" w:hAnsi="Calibri"/>
          <w:b/>
          <w:bCs/>
          <w:color w:val="632423" w:themeColor="accent2" w:themeShade="80"/>
        </w:rPr>
        <w:t>Highlights of Local Plan Provisions</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Key Strategic Planning Elements</w:t>
      </w:r>
    </w:p>
    <w:p w:rsidR="00F20BF6" w:rsidRPr="00BE659C" w:rsidRDefault="00F20BF6" w:rsidP="00BE659C">
      <w:pPr>
        <w:pStyle w:val="ListParagraph"/>
        <w:numPr>
          <w:ilvl w:val="1"/>
          <w:numId w:val="43"/>
        </w:numPr>
      </w:pPr>
      <w:r w:rsidRPr="00BE659C">
        <w:t>Analysis of regional economic conditions and workforce needs</w:t>
      </w:r>
    </w:p>
    <w:p w:rsidR="00F20BF6" w:rsidRPr="00BE659C" w:rsidRDefault="00F20BF6" w:rsidP="00BE659C">
      <w:pPr>
        <w:pStyle w:val="ListParagraph"/>
        <w:numPr>
          <w:ilvl w:val="1"/>
          <w:numId w:val="43"/>
        </w:numPr>
      </w:pPr>
      <w:r w:rsidRPr="00BE659C">
        <w:t>Coordination of workforce development system and services, including core programs and CTE</w:t>
      </w:r>
    </w:p>
    <w:p w:rsidR="00F20BF6" w:rsidRPr="00BE659C" w:rsidRDefault="00F20BF6" w:rsidP="00BE659C">
      <w:pPr>
        <w:pStyle w:val="ListParagraph"/>
        <w:numPr>
          <w:ilvl w:val="1"/>
          <w:numId w:val="43"/>
        </w:numPr>
      </w:pPr>
      <w:r w:rsidRPr="00BE659C">
        <w:t xml:space="preserve">Strategies for career pathways development and postsecondary credential attainment  </w:t>
      </w:r>
    </w:p>
    <w:p w:rsidR="00F20BF6" w:rsidRPr="00BE659C" w:rsidRDefault="00F20BF6" w:rsidP="00BE659C">
      <w:pPr>
        <w:pStyle w:val="ListParagraph"/>
        <w:numPr>
          <w:ilvl w:val="1"/>
          <w:numId w:val="43"/>
        </w:numPr>
      </w:pPr>
      <w:r w:rsidRPr="00BE659C">
        <w:t xml:space="preserve">Facilitate access to one-stop delivery system and roles and contributions of partner programs </w:t>
      </w:r>
    </w:p>
    <w:p w:rsidR="00F20BF6" w:rsidRPr="00BE659C" w:rsidRDefault="00F20BF6" w:rsidP="00BE659C">
      <w:pPr>
        <w:pStyle w:val="ListParagraph"/>
        <w:numPr>
          <w:ilvl w:val="2"/>
          <w:numId w:val="44"/>
        </w:numPr>
      </w:pPr>
      <w:r w:rsidRPr="00BE659C">
        <w:rPr>
          <w:b/>
          <w:bCs/>
          <w:u w:val="single"/>
        </w:rPr>
        <w:t>Note</w:t>
      </w:r>
      <w:r w:rsidRPr="00BE659C">
        <w:t xml:space="preserve">: Adult education is a </w:t>
      </w:r>
      <w:r w:rsidRPr="00BE659C">
        <w:rPr>
          <w:b/>
          <w:bCs/>
          <w:i/>
          <w:iCs/>
        </w:rPr>
        <w:t xml:space="preserve">required partner </w:t>
      </w:r>
      <w:r w:rsidRPr="00BE659C">
        <w:t>in the one-stop system</w:t>
      </w:r>
    </w:p>
    <w:p w:rsidR="00BE659C" w:rsidRDefault="00BE659C" w:rsidP="00BE659C">
      <w:pPr>
        <w:spacing w:before="0" w:after="0" w:line="240" w:lineRule="auto"/>
        <w:rPr>
          <w:rFonts w:ascii="Calibri" w:hAnsi="Calibri"/>
        </w:rPr>
      </w:pPr>
    </w:p>
    <w:p w:rsidR="00F20BF6" w:rsidRPr="00F57D00" w:rsidRDefault="00F20BF6" w:rsidP="00BE659C">
      <w:pPr>
        <w:spacing w:before="0" w:after="0" w:line="240" w:lineRule="auto"/>
        <w:rPr>
          <w:rFonts w:ascii="Calibri" w:hAnsi="Calibri"/>
          <w:b/>
          <w:color w:val="632423" w:themeColor="accent2" w:themeShade="80"/>
        </w:rPr>
      </w:pPr>
      <w:r w:rsidRPr="00F57D00">
        <w:rPr>
          <w:rFonts w:ascii="Calibri" w:hAnsi="Calibri"/>
          <w:b/>
          <w:color w:val="632423" w:themeColor="accent2" w:themeShade="80"/>
        </w:rPr>
        <w:t>One-Stop Partner Requirements</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 xml:space="preserve">Provide access </w:t>
      </w:r>
      <w:r w:rsidRPr="00027DD2">
        <w:rPr>
          <w:rFonts w:ascii="Calibri" w:hAnsi="Calibri"/>
        </w:rPr>
        <w:t>to adult education programs or activities through the one-stop delivery system</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 xml:space="preserve">Enter into a local MOU </w:t>
      </w:r>
      <w:r w:rsidRPr="00027DD2">
        <w:rPr>
          <w:rFonts w:ascii="Calibri" w:hAnsi="Calibri"/>
        </w:rPr>
        <w:t>with the local board relating to operation of the one-stop system</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MOU contents include:</w:t>
      </w:r>
    </w:p>
    <w:p w:rsidR="00F20BF6" w:rsidRPr="00027DD2" w:rsidRDefault="00F20BF6" w:rsidP="00BE659C">
      <w:pPr>
        <w:numPr>
          <w:ilvl w:val="1"/>
          <w:numId w:val="42"/>
        </w:numPr>
        <w:spacing w:before="0" w:after="0" w:line="240" w:lineRule="auto"/>
        <w:rPr>
          <w:rFonts w:ascii="Calibri" w:hAnsi="Calibri"/>
        </w:rPr>
      </w:pPr>
      <w:r w:rsidRPr="00027DD2">
        <w:rPr>
          <w:rFonts w:ascii="Calibri" w:hAnsi="Calibri"/>
        </w:rPr>
        <w:t>Services to be provided through the one-stop delivery system</w:t>
      </w:r>
    </w:p>
    <w:p w:rsidR="00F20BF6" w:rsidRPr="00027DD2" w:rsidRDefault="00F20BF6" w:rsidP="00BE659C">
      <w:pPr>
        <w:numPr>
          <w:ilvl w:val="1"/>
          <w:numId w:val="42"/>
        </w:numPr>
        <w:spacing w:before="0" w:after="0" w:line="240" w:lineRule="auto"/>
        <w:rPr>
          <w:rFonts w:ascii="Calibri" w:hAnsi="Calibri"/>
        </w:rPr>
      </w:pPr>
      <w:r w:rsidRPr="00027DD2">
        <w:rPr>
          <w:rFonts w:ascii="Calibri" w:hAnsi="Calibri"/>
        </w:rPr>
        <w:t xml:space="preserve">How </w:t>
      </w:r>
      <w:r w:rsidRPr="00027DD2">
        <w:rPr>
          <w:rFonts w:ascii="Calibri" w:hAnsi="Calibri"/>
          <w:b/>
          <w:bCs/>
        </w:rPr>
        <w:t xml:space="preserve">costs of services and operating costs </w:t>
      </w:r>
      <w:r w:rsidRPr="00027DD2">
        <w:rPr>
          <w:rFonts w:ascii="Calibri" w:hAnsi="Calibri"/>
        </w:rPr>
        <w:t xml:space="preserve">of the system will be funded, including funding </w:t>
      </w:r>
      <w:r w:rsidRPr="00027DD2">
        <w:rPr>
          <w:rFonts w:ascii="Calibri" w:hAnsi="Calibri"/>
          <w:b/>
          <w:bCs/>
        </w:rPr>
        <w:t>one-stop infrastructure costs</w:t>
      </w:r>
    </w:p>
    <w:p w:rsidR="00F20BF6" w:rsidRPr="00027DD2" w:rsidRDefault="00F20BF6" w:rsidP="00BE659C">
      <w:pPr>
        <w:numPr>
          <w:ilvl w:val="1"/>
          <w:numId w:val="42"/>
        </w:numPr>
        <w:spacing w:before="0" w:after="0" w:line="240" w:lineRule="auto"/>
        <w:rPr>
          <w:rFonts w:ascii="Calibri" w:hAnsi="Calibri"/>
        </w:rPr>
      </w:pPr>
      <w:r w:rsidRPr="00027DD2">
        <w:rPr>
          <w:rFonts w:ascii="Calibri" w:hAnsi="Calibri"/>
        </w:rPr>
        <w:t>Methods of referral for partner services</w:t>
      </w:r>
    </w:p>
    <w:p w:rsidR="00F20BF6" w:rsidRPr="00027DD2" w:rsidRDefault="00F20BF6" w:rsidP="00BE659C">
      <w:pPr>
        <w:numPr>
          <w:ilvl w:val="1"/>
          <w:numId w:val="42"/>
        </w:numPr>
        <w:spacing w:before="0" w:after="0" w:line="240" w:lineRule="auto"/>
        <w:rPr>
          <w:rFonts w:ascii="Calibri" w:hAnsi="Calibri"/>
        </w:rPr>
      </w:pPr>
      <w:r w:rsidRPr="00027DD2">
        <w:rPr>
          <w:rFonts w:ascii="Calibri" w:hAnsi="Calibri"/>
        </w:rPr>
        <w:t xml:space="preserve">Duration of MOU and review to </w:t>
      </w:r>
      <w:r w:rsidRPr="00027DD2">
        <w:rPr>
          <w:rFonts w:ascii="Calibri" w:hAnsi="Calibri"/>
          <w:b/>
          <w:bCs/>
        </w:rPr>
        <w:t xml:space="preserve">ensure appropriate funding </w:t>
      </w:r>
      <w:r w:rsidRPr="00027DD2">
        <w:rPr>
          <w:rFonts w:ascii="Calibri" w:hAnsi="Calibri"/>
        </w:rPr>
        <w:t>and delivery of services</w:t>
      </w:r>
    </w:p>
    <w:p w:rsidR="00BE659C" w:rsidRDefault="00BE659C" w:rsidP="00BE659C">
      <w:pPr>
        <w:spacing w:before="0" w:after="0" w:line="240" w:lineRule="auto"/>
        <w:rPr>
          <w:rFonts w:ascii="Calibri" w:hAnsi="Calibri"/>
          <w:b/>
        </w:rPr>
      </w:pPr>
    </w:p>
    <w:p w:rsidR="00F20BF6" w:rsidRPr="00F57D00" w:rsidRDefault="00F20BF6" w:rsidP="00BE659C">
      <w:pPr>
        <w:spacing w:before="0" w:after="0" w:line="240" w:lineRule="auto"/>
        <w:rPr>
          <w:rFonts w:ascii="Calibri" w:hAnsi="Calibri"/>
          <w:b/>
          <w:color w:val="632423" w:themeColor="accent2" w:themeShade="80"/>
        </w:rPr>
      </w:pPr>
      <w:r w:rsidRPr="00F57D00">
        <w:rPr>
          <w:rFonts w:ascii="Calibri" w:hAnsi="Calibri"/>
          <w:b/>
          <w:color w:val="632423" w:themeColor="accent2" w:themeShade="80"/>
        </w:rPr>
        <w:t>Infrastructure and Other Costs</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One-Stop Infrastructure Costs:</w:t>
      </w:r>
    </w:p>
    <w:p w:rsidR="00F20BF6" w:rsidRPr="00027DD2" w:rsidRDefault="00F20BF6" w:rsidP="00BE659C">
      <w:pPr>
        <w:numPr>
          <w:ilvl w:val="1"/>
          <w:numId w:val="45"/>
        </w:numPr>
        <w:spacing w:before="0" w:after="0" w:line="240" w:lineRule="auto"/>
        <w:rPr>
          <w:rFonts w:ascii="Calibri" w:hAnsi="Calibri"/>
        </w:rPr>
      </w:pPr>
      <w:r w:rsidRPr="00027DD2">
        <w:rPr>
          <w:rFonts w:ascii="Calibri" w:hAnsi="Calibri"/>
        </w:rPr>
        <w:t>Agreement reached by local board, chief elected officials, and one-stop partners</w:t>
      </w:r>
    </w:p>
    <w:p w:rsidR="00F20BF6" w:rsidRPr="00027DD2" w:rsidRDefault="00F20BF6" w:rsidP="00BE659C">
      <w:pPr>
        <w:numPr>
          <w:ilvl w:val="1"/>
          <w:numId w:val="45"/>
        </w:numPr>
        <w:spacing w:before="0" w:after="0" w:line="240" w:lineRule="auto"/>
        <w:rPr>
          <w:rFonts w:ascii="Calibri" w:hAnsi="Calibri"/>
        </w:rPr>
      </w:pPr>
      <w:r w:rsidRPr="00027DD2">
        <w:rPr>
          <w:rFonts w:ascii="Calibri" w:hAnsi="Calibri"/>
        </w:rPr>
        <w:lastRenderedPageBreak/>
        <w:t xml:space="preserve">If no consensus, Governor provides guidance based on programs’ </w:t>
      </w:r>
      <w:r w:rsidRPr="00027DD2">
        <w:rPr>
          <w:rFonts w:ascii="Calibri" w:hAnsi="Calibri"/>
          <w:b/>
          <w:bCs/>
        </w:rPr>
        <w:t xml:space="preserve">proportionate use </w:t>
      </w:r>
      <w:r w:rsidRPr="00027DD2">
        <w:rPr>
          <w:rFonts w:ascii="Calibri" w:hAnsi="Calibri"/>
        </w:rPr>
        <w:t xml:space="preserve">of the system and determines </w:t>
      </w:r>
      <w:r w:rsidRPr="00027DD2">
        <w:rPr>
          <w:rFonts w:ascii="Calibri" w:hAnsi="Calibri"/>
          <w:b/>
          <w:bCs/>
        </w:rPr>
        <w:t xml:space="preserve">equitable and stable methods of funding </w:t>
      </w:r>
      <w:r w:rsidRPr="00027DD2">
        <w:rPr>
          <w:rFonts w:ascii="Calibri" w:hAnsi="Calibri"/>
        </w:rPr>
        <w:t>the infrastructure costs of area centers</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b/>
          <w:bCs/>
        </w:rPr>
        <w:t>Other Costs:</w:t>
      </w:r>
    </w:p>
    <w:p w:rsidR="00F20BF6" w:rsidRPr="00027DD2" w:rsidRDefault="00F20BF6" w:rsidP="00BE659C">
      <w:pPr>
        <w:numPr>
          <w:ilvl w:val="1"/>
          <w:numId w:val="46"/>
        </w:numPr>
        <w:spacing w:before="0" w:after="0" w:line="240" w:lineRule="auto"/>
        <w:rPr>
          <w:rFonts w:ascii="Calibri" w:hAnsi="Calibri"/>
        </w:rPr>
      </w:pPr>
      <w:r w:rsidRPr="00027DD2">
        <w:rPr>
          <w:rFonts w:ascii="Calibri" w:hAnsi="Calibri"/>
        </w:rPr>
        <w:t>Requires a portion of funds to be used to pay the additional costs relating to the operation of the one-stop delivery system</w:t>
      </w:r>
    </w:p>
    <w:p w:rsidR="00F20BF6" w:rsidRPr="00027DD2" w:rsidRDefault="00F20BF6" w:rsidP="00BE659C">
      <w:pPr>
        <w:numPr>
          <w:ilvl w:val="1"/>
          <w:numId w:val="46"/>
        </w:numPr>
        <w:spacing w:before="0" w:after="0" w:line="240" w:lineRule="auto"/>
        <w:rPr>
          <w:rFonts w:ascii="Calibri" w:hAnsi="Calibri"/>
        </w:rPr>
      </w:pPr>
      <w:r w:rsidRPr="00027DD2">
        <w:rPr>
          <w:rFonts w:ascii="Calibri" w:hAnsi="Calibri"/>
        </w:rPr>
        <w:t xml:space="preserve">Costs </w:t>
      </w:r>
      <w:r w:rsidRPr="00027DD2">
        <w:rPr>
          <w:rFonts w:ascii="Calibri" w:hAnsi="Calibri"/>
          <w:b/>
          <w:bCs/>
        </w:rPr>
        <w:t xml:space="preserve">must include provision of career services </w:t>
      </w:r>
      <w:r w:rsidRPr="00027DD2">
        <w:rPr>
          <w:rFonts w:ascii="Calibri" w:hAnsi="Calibri"/>
        </w:rPr>
        <w:t>applicable to each program, and may include shared costs (i.e., initial intake, assessment of needs, appraisal of basic skills, referrals, etc.)</w:t>
      </w:r>
    </w:p>
    <w:p w:rsidR="00F20BF6" w:rsidRPr="00F57D00" w:rsidRDefault="00F20BF6" w:rsidP="00BE659C">
      <w:pPr>
        <w:spacing w:before="0" w:after="0" w:line="240" w:lineRule="auto"/>
        <w:rPr>
          <w:rFonts w:ascii="Calibri" w:hAnsi="Calibri"/>
          <w:color w:val="632423" w:themeColor="accent2" w:themeShade="80"/>
        </w:rPr>
      </w:pPr>
      <w:r w:rsidRPr="00F57D00">
        <w:rPr>
          <w:rFonts w:ascii="Calibri" w:hAnsi="Calibri"/>
          <w:b/>
          <w:bCs/>
          <w:color w:val="632423" w:themeColor="accent2" w:themeShade="80"/>
        </w:rPr>
        <w:t>Career Services</w:t>
      </w:r>
      <w:r w:rsidR="00BE659C" w:rsidRPr="00F57D00">
        <w:rPr>
          <w:rFonts w:ascii="Calibri" w:hAnsi="Calibri"/>
          <w:color w:val="632423" w:themeColor="accent2" w:themeShade="80"/>
        </w:rPr>
        <w:t xml:space="preserve">:  </w:t>
      </w:r>
      <w:r w:rsidRPr="00F57D00">
        <w:rPr>
          <w:rFonts w:ascii="Calibri" w:hAnsi="Calibri"/>
          <w:b/>
          <w:bCs/>
          <w:color w:val="632423" w:themeColor="accent2" w:themeShade="80"/>
        </w:rPr>
        <w:t>Local Requirements for Career Services (Sec. 134(c</w:t>
      </w:r>
      <w:proofErr w:type="gramStart"/>
      <w:r w:rsidRPr="00F57D00">
        <w:rPr>
          <w:rFonts w:ascii="Calibri" w:hAnsi="Calibri"/>
          <w:b/>
          <w:bCs/>
          <w:color w:val="632423" w:themeColor="accent2" w:themeShade="80"/>
        </w:rPr>
        <w:t>)(</w:t>
      </w:r>
      <w:proofErr w:type="gramEnd"/>
      <w:r w:rsidRPr="00F57D00">
        <w:rPr>
          <w:rFonts w:ascii="Calibri" w:hAnsi="Calibri"/>
          <w:b/>
          <w:bCs/>
          <w:color w:val="632423" w:themeColor="accent2" w:themeShade="80"/>
        </w:rPr>
        <w:t>2)):</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rPr>
        <w:t xml:space="preserve">Funds must be used to </w:t>
      </w:r>
      <w:r w:rsidRPr="00027DD2">
        <w:rPr>
          <w:rFonts w:ascii="Calibri" w:hAnsi="Calibri"/>
          <w:b/>
          <w:bCs/>
        </w:rPr>
        <w:t xml:space="preserve">provide career services through the one-stop </w:t>
      </w:r>
      <w:r w:rsidRPr="00027DD2">
        <w:rPr>
          <w:rFonts w:ascii="Calibri" w:hAnsi="Calibri"/>
        </w:rPr>
        <w:t>delivery system and must include, at a minimum:</w:t>
      </w:r>
    </w:p>
    <w:p w:rsidR="00F20BF6" w:rsidRPr="00027DD2" w:rsidRDefault="00F20BF6" w:rsidP="00BE659C">
      <w:pPr>
        <w:numPr>
          <w:ilvl w:val="1"/>
          <w:numId w:val="47"/>
        </w:numPr>
        <w:spacing w:before="0" w:after="0" w:line="240" w:lineRule="auto"/>
        <w:rPr>
          <w:rFonts w:ascii="Calibri" w:hAnsi="Calibri"/>
        </w:rPr>
      </w:pPr>
      <w:r w:rsidRPr="00027DD2">
        <w:rPr>
          <w:rFonts w:ascii="Calibri" w:hAnsi="Calibri"/>
        </w:rPr>
        <w:t>Determination of eligibility for services</w:t>
      </w:r>
    </w:p>
    <w:p w:rsidR="00F20BF6" w:rsidRPr="00027DD2" w:rsidRDefault="00F20BF6" w:rsidP="00BE659C">
      <w:pPr>
        <w:numPr>
          <w:ilvl w:val="1"/>
          <w:numId w:val="47"/>
        </w:numPr>
        <w:spacing w:before="0" w:after="0" w:line="240" w:lineRule="auto"/>
        <w:rPr>
          <w:rFonts w:ascii="Calibri" w:hAnsi="Calibri"/>
        </w:rPr>
      </w:pPr>
      <w:r w:rsidRPr="00027DD2">
        <w:rPr>
          <w:rFonts w:ascii="Calibri" w:hAnsi="Calibri"/>
        </w:rPr>
        <w:t>Outreach, intake, and access to information and services at the one-stop</w:t>
      </w:r>
    </w:p>
    <w:p w:rsidR="00F20BF6" w:rsidRPr="00027DD2" w:rsidRDefault="00F20BF6" w:rsidP="00BE659C">
      <w:pPr>
        <w:numPr>
          <w:ilvl w:val="1"/>
          <w:numId w:val="47"/>
        </w:numPr>
        <w:spacing w:before="0" w:after="0" w:line="240" w:lineRule="auto"/>
        <w:rPr>
          <w:rFonts w:ascii="Calibri" w:hAnsi="Calibri"/>
        </w:rPr>
      </w:pPr>
      <w:r w:rsidRPr="00027DD2">
        <w:rPr>
          <w:rFonts w:ascii="Calibri" w:hAnsi="Calibri"/>
        </w:rPr>
        <w:t>Initial assessment of skill levels, including literacy, numeracy, and English language proficiency, skill gaps, and supportive service needs; among other requirements (Sec. 122(b)(2))</w:t>
      </w:r>
    </w:p>
    <w:p w:rsidR="00F20BF6" w:rsidRPr="00027DD2" w:rsidRDefault="00F20BF6" w:rsidP="00BE659C">
      <w:pPr>
        <w:numPr>
          <w:ilvl w:val="0"/>
          <w:numId w:val="29"/>
        </w:numPr>
        <w:spacing w:before="0" w:after="0" w:line="240" w:lineRule="auto"/>
        <w:rPr>
          <w:rFonts w:ascii="Calibri" w:hAnsi="Calibri"/>
        </w:rPr>
      </w:pPr>
      <w:r w:rsidRPr="00027DD2">
        <w:rPr>
          <w:rFonts w:ascii="Calibri" w:hAnsi="Calibri"/>
        </w:rPr>
        <w:t xml:space="preserve">Local board must work with the State to </w:t>
      </w:r>
      <w:r w:rsidRPr="00027DD2">
        <w:rPr>
          <w:rFonts w:ascii="Calibri" w:hAnsi="Calibri"/>
          <w:b/>
          <w:bCs/>
        </w:rPr>
        <w:t xml:space="preserve">ensure there are sufficient numbers and types of providers of career services </w:t>
      </w:r>
      <w:r w:rsidRPr="00027DD2">
        <w:rPr>
          <w:rFonts w:ascii="Calibri" w:hAnsi="Calibri"/>
        </w:rPr>
        <w:t>and training services, including eligible providers with expertise in assisting adults in need of adult education and literacy activities (Sec. 107(d)(10(E))</w:t>
      </w:r>
    </w:p>
    <w:p w:rsidR="00F20BF6" w:rsidRPr="00027DD2" w:rsidRDefault="00F20BF6" w:rsidP="00F57D00">
      <w:pPr>
        <w:pStyle w:val="Heading1"/>
        <w:shd w:val="clear" w:color="auto" w:fill="244061" w:themeFill="accent1" w:themeFillShade="80"/>
      </w:pPr>
      <w:r w:rsidRPr="00027DD2">
        <w:t>WIOA Time</w:t>
      </w:r>
      <w:r>
        <w:t>line</w:t>
      </w:r>
    </w:p>
    <w:p w:rsidR="003E3D53" w:rsidRPr="00F57D00" w:rsidRDefault="003E3D53" w:rsidP="003E3D53">
      <w:pPr>
        <w:pStyle w:val="Heading2"/>
        <w:rPr>
          <w:color w:val="632423" w:themeColor="accent2" w:themeShade="80"/>
        </w:rPr>
      </w:pPr>
      <w:r w:rsidRPr="00F57D00">
        <w:rPr>
          <w:color w:val="632423" w:themeColor="accent2" w:themeShade="80"/>
        </w:rPr>
        <w:t>Effective Implementation Dates</w:t>
      </w:r>
    </w:p>
    <w:p w:rsidR="003E3D53" w:rsidRPr="00F20BF6" w:rsidRDefault="003E3D53" w:rsidP="003E3D53">
      <w:pPr>
        <w:rPr>
          <w:rFonts w:ascii="Calibri" w:hAnsi="Calibri"/>
        </w:rPr>
      </w:pPr>
      <w:r w:rsidRPr="000C3ED3">
        <w:rPr>
          <w:rFonts w:ascii="Calibri" w:hAnsi="Calibri"/>
        </w:rPr>
        <w:t xml:space="preserve">The Act </w:t>
      </w:r>
      <w:r>
        <w:rPr>
          <w:rFonts w:ascii="Calibri" w:hAnsi="Calibri"/>
        </w:rPr>
        <w:t xml:space="preserve">officially </w:t>
      </w:r>
      <w:r w:rsidRPr="000C3ED3">
        <w:rPr>
          <w:rFonts w:ascii="Calibri" w:hAnsi="Calibri"/>
        </w:rPr>
        <w:t xml:space="preserve">takes effect on </w:t>
      </w:r>
      <w:r w:rsidRPr="00200341">
        <w:rPr>
          <w:rFonts w:ascii="Calibri" w:hAnsi="Calibri"/>
          <w:b/>
        </w:rPr>
        <w:t>July 1, 2015</w:t>
      </w:r>
      <w:r w:rsidRPr="000C3ED3">
        <w:rPr>
          <w:rFonts w:ascii="Calibri" w:hAnsi="Calibri"/>
        </w:rPr>
        <w:t>, the first full program year after enactment, unless otherwise noted.  ED, in coordination with DOL, will issue further guidance on the</w:t>
      </w:r>
      <w:r>
        <w:rPr>
          <w:rFonts w:ascii="Calibri" w:hAnsi="Calibri"/>
        </w:rPr>
        <w:t xml:space="preserve"> timeframes for implementation.</w:t>
      </w:r>
    </w:p>
    <w:p w:rsidR="00F20BF6" w:rsidRPr="00F57D00" w:rsidRDefault="00F20BF6" w:rsidP="00F20BF6">
      <w:pPr>
        <w:pStyle w:val="Heading3"/>
        <w:rPr>
          <w:color w:val="632423" w:themeColor="accent2" w:themeShade="80"/>
        </w:rPr>
      </w:pPr>
      <w:r w:rsidRPr="00F57D00">
        <w:rPr>
          <w:color w:val="632423" w:themeColor="accent2" w:themeShade="80"/>
        </w:rPr>
        <w:t>November/December 2014</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Participation in consultation sessions with DOL/ED</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WIOA planning meetings and partnership building with labor and other agencies (ongoing)</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receive PY 2015-16 Transition State Plan guidance for transition year</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begin development of PY 2015-16 State Plan for (WIA performance measures remain in effect; transition activities included in 2015 State Plan)</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submit PY 2013-14 performance data and narrative to ED (December 31)</w:t>
      </w:r>
    </w:p>
    <w:p w:rsidR="00F20BF6" w:rsidRPr="00F57D00" w:rsidRDefault="00F20BF6" w:rsidP="00F20BF6">
      <w:pPr>
        <w:pStyle w:val="Heading3"/>
        <w:rPr>
          <w:color w:val="632423" w:themeColor="accent2" w:themeShade="80"/>
        </w:rPr>
      </w:pPr>
      <w:r w:rsidRPr="00F57D00">
        <w:rPr>
          <w:color w:val="632423" w:themeColor="accent2" w:themeShade="80"/>
        </w:rPr>
        <w:t>January/February 2015</w:t>
      </w:r>
      <w:r w:rsidRPr="00F57D00">
        <w:rPr>
          <w:color w:val="632423" w:themeColor="accent2" w:themeShade="80"/>
        </w:rPr>
        <w:tab/>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Notice of Proposed Rulemaking (NPRM) published</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Work with stakeholders to develop and submit comments</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begin to develop application/reapplication requirements for PY 2015-16 to eligible providers to include any new WIOA activities</w:t>
      </w:r>
    </w:p>
    <w:p w:rsidR="00F20BF6" w:rsidRPr="00F57D00" w:rsidRDefault="00F20BF6" w:rsidP="00F20BF6">
      <w:pPr>
        <w:pStyle w:val="Heading3"/>
        <w:rPr>
          <w:color w:val="632423" w:themeColor="accent2" w:themeShade="80"/>
        </w:rPr>
      </w:pPr>
      <w:r w:rsidRPr="00F57D00">
        <w:rPr>
          <w:color w:val="632423" w:themeColor="accent2" w:themeShade="80"/>
        </w:rPr>
        <w:t>March/April 2015</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submit comments to NPRM</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submit PY 2015-16 Transition State Plan (April 1)</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begin performance negotiations for PY 2015-16 targets</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 xml:space="preserve">Anticipated release of Federal Register Notice announcing States eligible to apply for incentive awards based on PY 2013-14 performance </w:t>
      </w:r>
    </w:p>
    <w:p w:rsidR="00F20BF6" w:rsidRPr="00F57D00" w:rsidRDefault="00F20BF6" w:rsidP="00F20BF6">
      <w:pPr>
        <w:pStyle w:val="Heading3"/>
        <w:rPr>
          <w:color w:val="632423" w:themeColor="accent2" w:themeShade="80"/>
        </w:rPr>
      </w:pPr>
      <w:r w:rsidRPr="00F57D00">
        <w:rPr>
          <w:color w:val="632423" w:themeColor="accent2" w:themeShade="80"/>
        </w:rPr>
        <w:lastRenderedPageBreak/>
        <w:t>May/June 2015</w:t>
      </w:r>
      <w:r w:rsidRPr="00F57D00">
        <w:rPr>
          <w:color w:val="632423" w:themeColor="accent2" w:themeShade="80"/>
        </w:rPr>
        <w:tab/>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Performance negotiations continue and targets approved by June 2015</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Incentive eligible States  prepare and submit applications for incentive funds  (final round of incentive funds awarded by June 30, 2015)</w:t>
      </w:r>
    </w:p>
    <w:p w:rsidR="00F20BF6" w:rsidRPr="00F57D00" w:rsidRDefault="00F20BF6" w:rsidP="00F20BF6">
      <w:pPr>
        <w:pStyle w:val="Heading3"/>
        <w:rPr>
          <w:color w:val="632423" w:themeColor="accent2" w:themeShade="80"/>
        </w:rPr>
      </w:pPr>
      <w:r w:rsidRPr="00F57D00">
        <w:rPr>
          <w:color w:val="632423" w:themeColor="accent2" w:themeShade="80"/>
        </w:rPr>
        <w:t>July/August 2015</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WIOA goes into effect (July 1, 2015)</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WIA core indicators of performance remain in effect</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PY 2015-16 Transition State Plan goes into effect</w:t>
      </w:r>
    </w:p>
    <w:p w:rsidR="00F20BF6" w:rsidRPr="00F57D00" w:rsidRDefault="00F20BF6" w:rsidP="00F20BF6">
      <w:pPr>
        <w:pStyle w:val="Heading3"/>
        <w:rPr>
          <w:color w:val="632423" w:themeColor="accent2" w:themeShade="80"/>
        </w:rPr>
      </w:pPr>
      <w:r w:rsidRPr="00F57D00">
        <w:rPr>
          <w:color w:val="632423" w:themeColor="accent2" w:themeShade="80"/>
        </w:rPr>
        <w:t>September/October 2015</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WIOA Unified Plan guidance release anticipated</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WIOA performance accountability guidance release anticipated</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begin considerations for MIS needs</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organize for unified state planning process</w:t>
      </w:r>
    </w:p>
    <w:p w:rsidR="00F20BF6" w:rsidRPr="00F57D00" w:rsidRDefault="00F20BF6" w:rsidP="00F20BF6">
      <w:pPr>
        <w:pStyle w:val="Heading3"/>
        <w:rPr>
          <w:color w:val="632423" w:themeColor="accent2" w:themeShade="80"/>
        </w:rPr>
      </w:pPr>
      <w:r w:rsidRPr="00F57D00">
        <w:rPr>
          <w:color w:val="632423" w:themeColor="accent2" w:themeShade="80"/>
        </w:rPr>
        <w:t>November/December 2015</w:t>
      </w:r>
      <w:r w:rsidRPr="00F57D00">
        <w:rPr>
          <w:color w:val="632423" w:themeColor="accent2" w:themeShade="80"/>
        </w:rPr>
        <w:tab/>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submit PY 2014-15 performance data and narrative to ED (December 31)</w:t>
      </w:r>
    </w:p>
    <w:p w:rsidR="00F20BF6" w:rsidRPr="00F57D00" w:rsidRDefault="00F20BF6" w:rsidP="00F20BF6">
      <w:pPr>
        <w:pStyle w:val="Heading3"/>
        <w:rPr>
          <w:color w:val="632423" w:themeColor="accent2" w:themeShade="80"/>
        </w:rPr>
      </w:pPr>
      <w:r w:rsidRPr="00F57D00">
        <w:rPr>
          <w:color w:val="632423" w:themeColor="accent2" w:themeShade="80"/>
        </w:rPr>
        <w:t>January/February 2016</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Final regulations published</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States begin application/ reapplication process for local grants (WIA or WIOA TBD)</w:t>
      </w:r>
    </w:p>
    <w:p w:rsidR="00F20BF6" w:rsidRPr="00F57D00" w:rsidRDefault="00F20BF6" w:rsidP="00F20BF6">
      <w:pPr>
        <w:pStyle w:val="Heading3"/>
        <w:rPr>
          <w:color w:val="632423" w:themeColor="accent2" w:themeShade="80"/>
        </w:rPr>
      </w:pPr>
      <w:r w:rsidRPr="00F57D00">
        <w:rPr>
          <w:color w:val="632423" w:themeColor="accent2" w:themeShade="80"/>
        </w:rPr>
        <w:t>March/April 2016</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4-year Unified State Plan submitted (March 3)</w:t>
      </w:r>
    </w:p>
    <w:p w:rsidR="00F20BF6" w:rsidRPr="00F20BF6" w:rsidRDefault="00F20BF6" w:rsidP="00BE659C">
      <w:pPr>
        <w:numPr>
          <w:ilvl w:val="0"/>
          <w:numId w:val="30"/>
        </w:numPr>
        <w:spacing w:before="0" w:after="0" w:line="240" w:lineRule="auto"/>
        <w:rPr>
          <w:rFonts w:ascii="Calibri" w:hAnsi="Calibri"/>
        </w:rPr>
      </w:pPr>
      <w:r w:rsidRPr="00F20BF6">
        <w:rPr>
          <w:rFonts w:ascii="Calibri" w:hAnsi="Calibri"/>
          <w:bCs/>
        </w:rPr>
        <w:t xml:space="preserve">Two-year performance target negotiation under WIOA  </w:t>
      </w:r>
    </w:p>
    <w:p w:rsidR="00F20BF6" w:rsidRPr="00760C6A" w:rsidRDefault="00081DF6" w:rsidP="00F57D00">
      <w:pPr>
        <w:pStyle w:val="Heading1"/>
        <w:shd w:val="clear" w:color="auto" w:fill="244061" w:themeFill="accent1" w:themeFillShade="80"/>
      </w:pPr>
      <w:bookmarkStart w:id="0" w:name="_GoBack"/>
      <w:r>
        <w:t>Additional Information</w:t>
      </w:r>
    </w:p>
    <w:bookmarkEnd w:id="0"/>
    <w:p w:rsidR="00F20BF6" w:rsidRPr="00F57D00" w:rsidRDefault="00F20BF6" w:rsidP="00F20BF6">
      <w:pPr>
        <w:pStyle w:val="Heading2"/>
        <w:rPr>
          <w:color w:val="632423" w:themeColor="accent2" w:themeShade="80"/>
        </w:rPr>
      </w:pPr>
      <w:r w:rsidRPr="00F57D00">
        <w:rPr>
          <w:color w:val="632423" w:themeColor="accent2" w:themeShade="80"/>
        </w:rPr>
        <w:t>Minnesota Information</w:t>
      </w:r>
    </w:p>
    <w:p w:rsidR="00F20BF6" w:rsidRDefault="00F20BF6" w:rsidP="00F20BF6">
      <w:pPr>
        <w:rPr>
          <w:rFonts w:ascii="Calibri" w:hAnsi="Calibri"/>
        </w:rPr>
      </w:pPr>
      <w:r>
        <w:rPr>
          <w:rFonts w:ascii="Calibri" w:hAnsi="Calibri"/>
        </w:rPr>
        <w:t xml:space="preserve">Minnesota’s WIOA Title II implementation information can be found on the </w:t>
      </w:r>
      <w:hyperlink r:id="rId20" w:history="1">
        <w:r w:rsidRPr="00F20BF6">
          <w:rPr>
            <w:rStyle w:val="Hyperlink"/>
            <w:rFonts w:ascii="Calibri" w:hAnsi="Calibri"/>
          </w:rPr>
          <w:t>MNABE Law, Policy and Guidance site</w:t>
        </w:r>
      </w:hyperlink>
      <w:r w:rsidR="00BE659C">
        <w:rPr>
          <w:rFonts w:ascii="Calibri" w:hAnsi="Calibri"/>
        </w:rPr>
        <w:t xml:space="preserve"> (</w:t>
      </w:r>
      <w:r w:rsidRPr="00F20BF6">
        <w:rPr>
          <w:rFonts w:ascii="Calibri" w:hAnsi="Calibri"/>
        </w:rPr>
        <w:t>http://mnabe.org/program-management/law-policy-guidance</w:t>
      </w:r>
      <w:r w:rsidR="00BE659C">
        <w:rPr>
          <w:rFonts w:ascii="Calibri" w:hAnsi="Calibri"/>
        </w:rPr>
        <w:t>)</w:t>
      </w:r>
    </w:p>
    <w:p w:rsidR="00F20BF6" w:rsidRPr="00F57D00" w:rsidRDefault="00F20BF6" w:rsidP="00F20BF6">
      <w:pPr>
        <w:pStyle w:val="Heading2"/>
        <w:rPr>
          <w:color w:val="632423" w:themeColor="accent2" w:themeShade="80"/>
        </w:rPr>
      </w:pPr>
      <w:r w:rsidRPr="00F57D00">
        <w:rPr>
          <w:color w:val="632423" w:themeColor="accent2" w:themeShade="80"/>
        </w:rPr>
        <w:t>National Information</w:t>
      </w:r>
    </w:p>
    <w:p w:rsidR="00F20BF6" w:rsidRDefault="00F20BF6" w:rsidP="00F20BF6">
      <w:pPr>
        <w:rPr>
          <w:rFonts w:ascii="Calibri" w:hAnsi="Calibri" w:cs="Calibri"/>
          <w:color w:val="000000"/>
        </w:rPr>
      </w:pPr>
      <w:r>
        <w:rPr>
          <w:rFonts w:ascii="Calibri" w:hAnsi="Calibri"/>
        </w:rPr>
        <w:t>US</w:t>
      </w:r>
      <w:r w:rsidRPr="000C3ED3">
        <w:rPr>
          <w:rFonts w:ascii="Calibri" w:hAnsi="Calibri"/>
        </w:rPr>
        <w:t xml:space="preserve">ED, in coordination with DOL and the Department of Health and Human Services, will be working together to ensure that states, local areas, and stakeholders are prepared for implementation of WIOA.  ED’s Office of Career, Technical, and Adult Education (OCTAE) will provide technical assistance, tools, and resources through the </w:t>
      </w:r>
      <w:hyperlink r:id="rId21" w:history="1">
        <w:r w:rsidRPr="006855CB">
          <w:rPr>
            <w:rStyle w:val="Hyperlink"/>
            <w:rFonts w:ascii="Calibri" w:hAnsi="Calibri"/>
          </w:rPr>
          <w:t>Division of Adult Education and Litera</w:t>
        </w:r>
        <w:r w:rsidR="006855CB" w:rsidRPr="006855CB">
          <w:rPr>
            <w:rStyle w:val="Hyperlink"/>
            <w:rFonts w:ascii="Calibri" w:hAnsi="Calibri"/>
          </w:rPr>
          <w:t>cy’s WIOA Reauthorization page</w:t>
        </w:r>
      </w:hyperlink>
      <w:r w:rsidRPr="000C3ED3">
        <w:rPr>
          <w:rFonts w:ascii="Calibri" w:hAnsi="Calibri"/>
        </w:rPr>
        <w:t xml:space="preserve"> </w:t>
      </w:r>
      <w:r w:rsidR="006855CB">
        <w:rPr>
          <w:rFonts w:ascii="Calibri" w:hAnsi="Calibri"/>
        </w:rPr>
        <w:t>(</w:t>
      </w:r>
      <w:r w:rsidR="006855CB" w:rsidRPr="006855CB">
        <w:rPr>
          <w:rFonts w:ascii="Calibri" w:hAnsi="Calibri"/>
        </w:rPr>
        <w:t>www.ed.gov/AEFLA</w:t>
      </w:r>
      <w:r w:rsidR="006855CB">
        <w:rPr>
          <w:rFonts w:ascii="Calibri" w:hAnsi="Calibri"/>
        </w:rPr>
        <w:t>)</w:t>
      </w:r>
      <w:r>
        <w:rPr>
          <w:rFonts w:ascii="Calibri" w:hAnsi="Calibri" w:cs="Calibri"/>
          <w:color w:val="000000"/>
        </w:rPr>
        <w:t>, as well as provide related links to our Federal partners’ websites for additional information.  Proposed regulations related to the transition and implementation will be issued soon after enactment.  OCTAE will continue to engage stakeholders and communicate guidance throughout the WIOA implementation period.</w:t>
      </w:r>
    </w:p>
    <w:p w:rsidR="00F20BF6" w:rsidRDefault="00F20BF6" w:rsidP="00F20BF6">
      <w:pPr>
        <w:rPr>
          <w:rFonts w:ascii="Calibri" w:hAnsi="Calibri" w:cs="Calibri"/>
          <w:color w:val="000000"/>
        </w:rPr>
      </w:pPr>
      <w:r>
        <w:rPr>
          <w:rFonts w:ascii="Calibri" w:hAnsi="Calibri" w:cs="Calibri"/>
          <w:color w:val="000000"/>
        </w:rPr>
        <w:t>For additional information related to other WIOA titles:</w:t>
      </w:r>
    </w:p>
    <w:p w:rsidR="00F20BF6" w:rsidRDefault="00F20BF6" w:rsidP="00F20BF6">
      <w:pPr>
        <w:numPr>
          <w:ilvl w:val="0"/>
          <w:numId w:val="20"/>
        </w:numPr>
        <w:spacing w:before="0" w:after="0" w:line="240" w:lineRule="auto"/>
        <w:contextualSpacing/>
        <w:rPr>
          <w:rFonts w:ascii="Calibri" w:hAnsi="Calibri" w:cs="Calibri"/>
          <w:color w:val="000000"/>
        </w:rPr>
      </w:pPr>
      <w:r>
        <w:rPr>
          <w:rFonts w:ascii="Calibri" w:hAnsi="Calibri" w:cs="Calibri"/>
          <w:color w:val="000000"/>
        </w:rPr>
        <w:t xml:space="preserve">The DOL Employment and Training Administration </w:t>
      </w:r>
      <w:proofErr w:type="gramStart"/>
      <w:r>
        <w:rPr>
          <w:rFonts w:ascii="Calibri" w:hAnsi="Calibri" w:cs="Calibri"/>
          <w:color w:val="000000"/>
        </w:rPr>
        <w:t>has</w:t>
      </w:r>
      <w:proofErr w:type="gramEnd"/>
      <w:r>
        <w:rPr>
          <w:rFonts w:ascii="Calibri" w:hAnsi="Calibri" w:cs="Calibri"/>
          <w:color w:val="000000"/>
        </w:rPr>
        <w:t xml:space="preserve"> established a WIOA Resource Page (</w:t>
      </w:r>
      <w:hyperlink r:id="rId22" w:history="1">
        <w:r w:rsidRPr="00D20D24">
          <w:rPr>
            <w:rStyle w:val="Hyperlink"/>
            <w:rFonts w:ascii="Calibri" w:hAnsi="Calibri" w:cs="Calibri"/>
          </w:rPr>
          <w:t>www.doleta.gov/WIOA</w:t>
        </w:r>
      </w:hyperlink>
      <w:r>
        <w:rPr>
          <w:rFonts w:ascii="Calibri" w:hAnsi="Calibri" w:cs="Calibri"/>
          <w:color w:val="000000"/>
        </w:rPr>
        <w:t xml:space="preserve">) to serve as the on-line repository for DOL’s WIOA implementation materials.  Questions regarding WIOA implementation may be submitted to </w:t>
      </w:r>
      <w:hyperlink r:id="rId23" w:history="1">
        <w:r w:rsidRPr="00D20D24">
          <w:rPr>
            <w:rStyle w:val="Hyperlink"/>
            <w:rFonts w:ascii="Calibri" w:hAnsi="Calibri" w:cs="Calibri"/>
          </w:rPr>
          <w:t>DOL.WIOA@dol.gov</w:t>
        </w:r>
      </w:hyperlink>
      <w:r>
        <w:rPr>
          <w:rFonts w:ascii="Calibri" w:hAnsi="Calibri" w:cs="Calibri"/>
          <w:color w:val="000000"/>
        </w:rPr>
        <w:t>.</w:t>
      </w:r>
    </w:p>
    <w:p w:rsidR="00F20BF6" w:rsidRPr="0047572F" w:rsidRDefault="00F20BF6" w:rsidP="00F20BF6">
      <w:pPr>
        <w:numPr>
          <w:ilvl w:val="0"/>
          <w:numId w:val="20"/>
        </w:numPr>
        <w:spacing w:before="0" w:after="0" w:line="240" w:lineRule="auto"/>
        <w:contextualSpacing/>
        <w:rPr>
          <w:rFonts w:ascii="Calibri" w:hAnsi="Calibri" w:cs="Calibri"/>
          <w:color w:val="000000"/>
        </w:rPr>
      </w:pPr>
      <w:r w:rsidRPr="0047572F">
        <w:rPr>
          <w:rFonts w:ascii="Calibri" w:hAnsi="Calibri" w:cs="Calibri"/>
          <w:color w:val="000000"/>
        </w:rPr>
        <w:t>Information related to Rehabilitation Act pro</w:t>
      </w:r>
      <w:r>
        <w:rPr>
          <w:rFonts w:ascii="Calibri" w:hAnsi="Calibri" w:cs="Calibri"/>
          <w:color w:val="000000"/>
        </w:rPr>
        <w:t>grams amended under T</w:t>
      </w:r>
      <w:r w:rsidRPr="0047572F">
        <w:rPr>
          <w:rFonts w:ascii="Calibri" w:hAnsi="Calibri" w:cs="Calibri"/>
          <w:color w:val="000000"/>
        </w:rPr>
        <w:t xml:space="preserve">itle IV of WIOA is available through the Rehabilitation Services Administration’s site at: </w:t>
      </w:r>
      <w:hyperlink r:id="rId24" w:history="1">
        <w:r w:rsidRPr="0047572F">
          <w:rPr>
            <w:rStyle w:val="Hyperlink"/>
            <w:rFonts w:ascii="Calibri" w:hAnsi="Calibri" w:cs="Calibri"/>
          </w:rPr>
          <w:t>http://www.ed.gov/aboust/offices/list/osers/rsa/wioa-reauthorization.html</w:t>
        </w:r>
      </w:hyperlink>
      <w:r w:rsidRPr="0047572F">
        <w:rPr>
          <w:rFonts w:ascii="Calibri" w:hAnsi="Calibri" w:cs="Calibri"/>
          <w:color w:val="000000"/>
        </w:rPr>
        <w:t>.</w:t>
      </w:r>
    </w:p>
    <w:p w:rsidR="00A40872" w:rsidRPr="00A40872" w:rsidRDefault="00A40872" w:rsidP="00A40872"/>
    <w:p w:rsidR="00A40872" w:rsidRPr="00A40872" w:rsidRDefault="00A40872" w:rsidP="00A40872"/>
    <w:sectPr w:rsidR="00A40872" w:rsidRPr="00A40872" w:rsidSect="00190AFA">
      <w:headerReference w:type="default" r:id="rId25"/>
      <w:footerReference w:type="default" r:id="rId26"/>
      <w:footerReference w:type="first" r:id="rId27"/>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B5" w:rsidRDefault="005F13B5" w:rsidP="00232178">
      <w:pPr>
        <w:spacing w:after="0" w:line="240" w:lineRule="auto"/>
      </w:pPr>
      <w:r>
        <w:separator/>
      </w:r>
    </w:p>
  </w:endnote>
  <w:endnote w:type="continuationSeparator" w:id="0">
    <w:p w:rsidR="005F13B5" w:rsidRDefault="005F13B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34740"/>
      <w:docPartObj>
        <w:docPartGallery w:val="Page Numbers (Bottom of Page)"/>
        <w:docPartUnique/>
      </w:docPartObj>
    </w:sdtPr>
    <w:sdtEndPr>
      <w:rPr>
        <w:noProof/>
      </w:rPr>
    </w:sdtEndPr>
    <w:sdtContent>
      <w:p w:rsidR="005F13B5" w:rsidRDefault="005F13B5" w:rsidP="00F20BF6">
        <w:pPr>
          <w:pStyle w:val="Footer"/>
        </w:pPr>
        <w:r w:rsidRPr="00F20BF6">
          <w:rPr>
            <w:i/>
          </w:rPr>
          <w:t>Source:  Office of Career, Technical &amp; Adult Education, U.S. Department of Education</w:t>
        </w:r>
        <w:r>
          <w:tab/>
        </w:r>
        <w:r w:rsidRPr="00F20BF6">
          <w:rPr>
            <w:b/>
          </w:rPr>
          <w:fldChar w:fldCharType="begin"/>
        </w:r>
        <w:r w:rsidRPr="00F20BF6">
          <w:rPr>
            <w:b/>
          </w:rPr>
          <w:instrText xml:space="preserve"> PAGE   \* MERGEFORMAT </w:instrText>
        </w:r>
        <w:r w:rsidRPr="00F20BF6">
          <w:rPr>
            <w:b/>
          </w:rPr>
          <w:fldChar w:fldCharType="separate"/>
        </w:r>
        <w:r w:rsidR="009B738C">
          <w:rPr>
            <w:b/>
            <w:noProof/>
          </w:rPr>
          <w:t>14</w:t>
        </w:r>
        <w:r w:rsidRPr="00F20BF6">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68087"/>
      <w:docPartObj>
        <w:docPartGallery w:val="Page Numbers (Bottom of Page)"/>
        <w:docPartUnique/>
      </w:docPartObj>
    </w:sdtPr>
    <w:sdtEndPr>
      <w:rPr>
        <w:noProof/>
      </w:rPr>
    </w:sdtEndPr>
    <w:sdtContent>
      <w:p w:rsidR="005F13B5" w:rsidRDefault="005F13B5">
        <w:pPr>
          <w:pStyle w:val="Footer"/>
        </w:pPr>
        <w:r w:rsidRPr="00F20BF6">
          <w:rPr>
            <w:i/>
          </w:rPr>
          <w:t>Source:  Office of Career, Technical &amp; Adult Education, U.S. Department of Education</w:t>
        </w:r>
        <w:r>
          <w:tab/>
        </w:r>
        <w:r w:rsidRPr="00F20BF6">
          <w:rPr>
            <w:b/>
          </w:rPr>
          <w:fldChar w:fldCharType="begin"/>
        </w:r>
        <w:r w:rsidRPr="00F20BF6">
          <w:rPr>
            <w:b/>
          </w:rPr>
          <w:instrText xml:space="preserve"> PAGE   \* MERGEFORMAT </w:instrText>
        </w:r>
        <w:r w:rsidRPr="00F20BF6">
          <w:rPr>
            <w:b/>
          </w:rPr>
          <w:fldChar w:fldCharType="separate"/>
        </w:r>
        <w:r w:rsidR="007E05FB">
          <w:rPr>
            <w:b/>
            <w:noProof/>
          </w:rPr>
          <w:t>1</w:t>
        </w:r>
        <w:r w:rsidRPr="00F20BF6">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B5" w:rsidRDefault="005F13B5" w:rsidP="00232178">
      <w:pPr>
        <w:spacing w:after="0" w:line="240" w:lineRule="auto"/>
      </w:pPr>
      <w:r>
        <w:separator/>
      </w:r>
    </w:p>
  </w:footnote>
  <w:footnote w:type="continuationSeparator" w:id="0">
    <w:p w:rsidR="005F13B5" w:rsidRDefault="005F13B5"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B5" w:rsidRPr="001629B5" w:rsidRDefault="005F13B5">
    <w:pPr>
      <w:pStyle w:val="Header"/>
      <w:rPr>
        <w:i/>
      </w:rPr>
    </w:pPr>
    <w:r w:rsidRPr="001629B5">
      <w:rPr>
        <w:i/>
      </w:rPr>
      <w:t xml:space="preserve">WIOA Overview for </w:t>
    </w:r>
    <w:r w:rsidR="00F57D00">
      <w:rPr>
        <w:i/>
      </w:rPr>
      <w:t>Adult Education (</w:t>
    </w:r>
    <w:r w:rsidRPr="001629B5">
      <w:rPr>
        <w:i/>
      </w:rPr>
      <w:t>Title II Programs</w:t>
    </w:r>
    <w:r w:rsidR="00F57D00">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70B33"/>
    <w:multiLevelType w:val="hybridMultilevel"/>
    <w:tmpl w:val="8B5CC5A2"/>
    <w:lvl w:ilvl="0" w:tplc="0002BF52">
      <w:start w:val="1"/>
      <w:numFmt w:val="bullet"/>
      <w:lvlText w:val=""/>
      <w:lvlJc w:val="left"/>
      <w:pPr>
        <w:tabs>
          <w:tab w:val="num" w:pos="720"/>
        </w:tabs>
        <w:ind w:left="720" w:hanging="360"/>
      </w:pPr>
      <w:rPr>
        <w:rFonts w:ascii="Wingdings" w:hAnsi="Wingdings" w:hint="default"/>
      </w:rPr>
    </w:lvl>
    <w:lvl w:ilvl="1" w:tplc="67A8FAF4">
      <w:start w:val="610"/>
      <w:numFmt w:val="bullet"/>
      <w:lvlText w:val=""/>
      <w:lvlJc w:val="left"/>
      <w:pPr>
        <w:tabs>
          <w:tab w:val="num" w:pos="1440"/>
        </w:tabs>
        <w:ind w:left="1440" w:hanging="360"/>
      </w:pPr>
      <w:rPr>
        <w:rFonts w:ascii="Wingdings" w:hAnsi="Wingdings" w:hint="default"/>
      </w:rPr>
    </w:lvl>
    <w:lvl w:ilvl="2" w:tplc="FE5CB234">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11">
    <w:nsid w:val="049F70E5"/>
    <w:multiLevelType w:val="hybridMultilevel"/>
    <w:tmpl w:val="C05A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754AE"/>
    <w:multiLevelType w:val="hybridMultilevel"/>
    <w:tmpl w:val="CB503C1C"/>
    <w:lvl w:ilvl="0" w:tplc="5344D08A">
      <w:start w:val="1"/>
      <w:numFmt w:val="bullet"/>
      <w:lvlText w:val="-"/>
      <w:lvlJc w:val="left"/>
      <w:pPr>
        <w:tabs>
          <w:tab w:val="num" w:pos="720"/>
        </w:tabs>
        <w:ind w:left="720" w:hanging="360"/>
      </w:pPr>
      <w:rPr>
        <w:rFonts w:ascii="Arial" w:hAnsi="Arial" w:hint="default"/>
      </w:rPr>
    </w:lvl>
    <w:lvl w:ilvl="1" w:tplc="D14CEBC4" w:tentative="1">
      <w:start w:val="1"/>
      <w:numFmt w:val="bullet"/>
      <w:lvlText w:val="-"/>
      <w:lvlJc w:val="left"/>
      <w:pPr>
        <w:tabs>
          <w:tab w:val="num" w:pos="1440"/>
        </w:tabs>
        <w:ind w:left="1440" w:hanging="360"/>
      </w:pPr>
      <w:rPr>
        <w:rFonts w:ascii="Arial" w:hAnsi="Arial" w:hint="default"/>
      </w:rPr>
    </w:lvl>
    <w:lvl w:ilvl="2" w:tplc="4D2ABCAC" w:tentative="1">
      <w:start w:val="1"/>
      <w:numFmt w:val="bullet"/>
      <w:lvlText w:val="-"/>
      <w:lvlJc w:val="left"/>
      <w:pPr>
        <w:tabs>
          <w:tab w:val="num" w:pos="2160"/>
        </w:tabs>
        <w:ind w:left="2160" w:hanging="360"/>
      </w:pPr>
      <w:rPr>
        <w:rFonts w:ascii="Arial" w:hAnsi="Arial" w:hint="default"/>
      </w:rPr>
    </w:lvl>
    <w:lvl w:ilvl="3" w:tplc="AA6C6D6E" w:tentative="1">
      <w:start w:val="1"/>
      <w:numFmt w:val="bullet"/>
      <w:lvlText w:val="-"/>
      <w:lvlJc w:val="left"/>
      <w:pPr>
        <w:tabs>
          <w:tab w:val="num" w:pos="2880"/>
        </w:tabs>
        <w:ind w:left="2880" w:hanging="360"/>
      </w:pPr>
      <w:rPr>
        <w:rFonts w:ascii="Arial" w:hAnsi="Arial" w:hint="default"/>
      </w:rPr>
    </w:lvl>
    <w:lvl w:ilvl="4" w:tplc="86422064" w:tentative="1">
      <w:start w:val="1"/>
      <w:numFmt w:val="bullet"/>
      <w:lvlText w:val="-"/>
      <w:lvlJc w:val="left"/>
      <w:pPr>
        <w:tabs>
          <w:tab w:val="num" w:pos="3600"/>
        </w:tabs>
        <w:ind w:left="3600" w:hanging="360"/>
      </w:pPr>
      <w:rPr>
        <w:rFonts w:ascii="Arial" w:hAnsi="Arial" w:hint="default"/>
      </w:rPr>
    </w:lvl>
    <w:lvl w:ilvl="5" w:tplc="164CCC42" w:tentative="1">
      <w:start w:val="1"/>
      <w:numFmt w:val="bullet"/>
      <w:lvlText w:val="-"/>
      <w:lvlJc w:val="left"/>
      <w:pPr>
        <w:tabs>
          <w:tab w:val="num" w:pos="4320"/>
        </w:tabs>
        <w:ind w:left="4320" w:hanging="360"/>
      </w:pPr>
      <w:rPr>
        <w:rFonts w:ascii="Arial" w:hAnsi="Arial" w:hint="default"/>
      </w:rPr>
    </w:lvl>
    <w:lvl w:ilvl="6" w:tplc="AFA00336" w:tentative="1">
      <w:start w:val="1"/>
      <w:numFmt w:val="bullet"/>
      <w:lvlText w:val="-"/>
      <w:lvlJc w:val="left"/>
      <w:pPr>
        <w:tabs>
          <w:tab w:val="num" w:pos="5040"/>
        </w:tabs>
        <w:ind w:left="5040" w:hanging="360"/>
      </w:pPr>
      <w:rPr>
        <w:rFonts w:ascii="Arial" w:hAnsi="Arial" w:hint="default"/>
      </w:rPr>
    </w:lvl>
    <w:lvl w:ilvl="7" w:tplc="9F46CE48" w:tentative="1">
      <w:start w:val="1"/>
      <w:numFmt w:val="bullet"/>
      <w:lvlText w:val="-"/>
      <w:lvlJc w:val="left"/>
      <w:pPr>
        <w:tabs>
          <w:tab w:val="num" w:pos="5760"/>
        </w:tabs>
        <w:ind w:left="5760" w:hanging="360"/>
      </w:pPr>
      <w:rPr>
        <w:rFonts w:ascii="Arial" w:hAnsi="Arial" w:hint="default"/>
      </w:rPr>
    </w:lvl>
    <w:lvl w:ilvl="8" w:tplc="570E2DC4" w:tentative="1">
      <w:start w:val="1"/>
      <w:numFmt w:val="bullet"/>
      <w:lvlText w:val="-"/>
      <w:lvlJc w:val="left"/>
      <w:pPr>
        <w:tabs>
          <w:tab w:val="num" w:pos="6480"/>
        </w:tabs>
        <w:ind w:left="6480" w:hanging="360"/>
      </w:pPr>
      <w:rPr>
        <w:rFonts w:ascii="Arial" w:hAnsi="Arial" w:hint="default"/>
      </w:rPr>
    </w:lvl>
  </w:abstractNum>
  <w:abstractNum w:abstractNumId="13">
    <w:nsid w:val="074E5B26"/>
    <w:multiLevelType w:val="hybridMultilevel"/>
    <w:tmpl w:val="130E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91349A6"/>
    <w:multiLevelType w:val="hybridMultilevel"/>
    <w:tmpl w:val="4BC65C1E"/>
    <w:lvl w:ilvl="0" w:tplc="84648086">
      <w:start w:val="1"/>
      <w:numFmt w:val="bullet"/>
      <w:lvlText w:val="-"/>
      <w:lvlJc w:val="left"/>
      <w:pPr>
        <w:tabs>
          <w:tab w:val="num" w:pos="720"/>
        </w:tabs>
        <w:ind w:left="720" w:hanging="360"/>
      </w:pPr>
      <w:rPr>
        <w:rFonts w:ascii="Arial" w:hAnsi="Arial" w:hint="default"/>
      </w:rPr>
    </w:lvl>
    <w:lvl w:ilvl="1" w:tplc="F8B4C634" w:tentative="1">
      <w:start w:val="1"/>
      <w:numFmt w:val="bullet"/>
      <w:lvlText w:val="-"/>
      <w:lvlJc w:val="left"/>
      <w:pPr>
        <w:tabs>
          <w:tab w:val="num" w:pos="1440"/>
        </w:tabs>
        <w:ind w:left="1440" w:hanging="360"/>
      </w:pPr>
      <w:rPr>
        <w:rFonts w:ascii="Arial" w:hAnsi="Arial" w:hint="default"/>
      </w:rPr>
    </w:lvl>
    <w:lvl w:ilvl="2" w:tplc="4DE23832" w:tentative="1">
      <w:start w:val="1"/>
      <w:numFmt w:val="bullet"/>
      <w:lvlText w:val="-"/>
      <w:lvlJc w:val="left"/>
      <w:pPr>
        <w:tabs>
          <w:tab w:val="num" w:pos="2160"/>
        </w:tabs>
        <w:ind w:left="2160" w:hanging="360"/>
      </w:pPr>
      <w:rPr>
        <w:rFonts w:ascii="Arial" w:hAnsi="Arial" w:hint="default"/>
      </w:rPr>
    </w:lvl>
    <w:lvl w:ilvl="3" w:tplc="68D4E9BA" w:tentative="1">
      <w:start w:val="1"/>
      <w:numFmt w:val="bullet"/>
      <w:lvlText w:val="-"/>
      <w:lvlJc w:val="left"/>
      <w:pPr>
        <w:tabs>
          <w:tab w:val="num" w:pos="2880"/>
        </w:tabs>
        <w:ind w:left="2880" w:hanging="360"/>
      </w:pPr>
      <w:rPr>
        <w:rFonts w:ascii="Arial" w:hAnsi="Arial" w:hint="default"/>
      </w:rPr>
    </w:lvl>
    <w:lvl w:ilvl="4" w:tplc="26362B0C" w:tentative="1">
      <w:start w:val="1"/>
      <w:numFmt w:val="bullet"/>
      <w:lvlText w:val="-"/>
      <w:lvlJc w:val="left"/>
      <w:pPr>
        <w:tabs>
          <w:tab w:val="num" w:pos="3600"/>
        </w:tabs>
        <w:ind w:left="3600" w:hanging="360"/>
      </w:pPr>
      <w:rPr>
        <w:rFonts w:ascii="Arial" w:hAnsi="Arial" w:hint="default"/>
      </w:rPr>
    </w:lvl>
    <w:lvl w:ilvl="5" w:tplc="E9C826DA" w:tentative="1">
      <w:start w:val="1"/>
      <w:numFmt w:val="bullet"/>
      <w:lvlText w:val="-"/>
      <w:lvlJc w:val="left"/>
      <w:pPr>
        <w:tabs>
          <w:tab w:val="num" w:pos="4320"/>
        </w:tabs>
        <w:ind w:left="4320" w:hanging="360"/>
      </w:pPr>
      <w:rPr>
        <w:rFonts w:ascii="Arial" w:hAnsi="Arial" w:hint="default"/>
      </w:rPr>
    </w:lvl>
    <w:lvl w:ilvl="6" w:tplc="C89A6D60" w:tentative="1">
      <w:start w:val="1"/>
      <w:numFmt w:val="bullet"/>
      <w:lvlText w:val="-"/>
      <w:lvlJc w:val="left"/>
      <w:pPr>
        <w:tabs>
          <w:tab w:val="num" w:pos="5040"/>
        </w:tabs>
        <w:ind w:left="5040" w:hanging="360"/>
      </w:pPr>
      <w:rPr>
        <w:rFonts w:ascii="Arial" w:hAnsi="Arial" w:hint="default"/>
      </w:rPr>
    </w:lvl>
    <w:lvl w:ilvl="7" w:tplc="859291F8" w:tentative="1">
      <w:start w:val="1"/>
      <w:numFmt w:val="bullet"/>
      <w:lvlText w:val="-"/>
      <w:lvlJc w:val="left"/>
      <w:pPr>
        <w:tabs>
          <w:tab w:val="num" w:pos="5760"/>
        </w:tabs>
        <w:ind w:left="5760" w:hanging="360"/>
      </w:pPr>
      <w:rPr>
        <w:rFonts w:ascii="Arial" w:hAnsi="Arial" w:hint="default"/>
      </w:rPr>
    </w:lvl>
    <w:lvl w:ilvl="8" w:tplc="5B9858AC" w:tentative="1">
      <w:start w:val="1"/>
      <w:numFmt w:val="bullet"/>
      <w:lvlText w:val="-"/>
      <w:lvlJc w:val="left"/>
      <w:pPr>
        <w:tabs>
          <w:tab w:val="num" w:pos="6480"/>
        </w:tabs>
        <w:ind w:left="6480" w:hanging="360"/>
      </w:pPr>
      <w:rPr>
        <w:rFonts w:ascii="Arial" w:hAnsi="Arial" w:hint="default"/>
      </w:rPr>
    </w:lvl>
  </w:abstractNum>
  <w:abstractNum w:abstractNumId="15">
    <w:nsid w:val="092E67BA"/>
    <w:multiLevelType w:val="hybridMultilevel"/>
    <w:tmpl w:val="001C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394EA4"/>
    <w:multiLevelType w:val="hybridMultilevel"/>
    <w:tmpl w:val="7F5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39389B"/>
    <w:multiLevelType w:val="hybridMultilevel"/>
    <w:tmpl w:val="B48019FE"/>
    <w:lvl w:ilvl="0" w:tplc="832A7BFA">
      <w:start w:val="1"/>
      <w:numFmt w:val="bullet"/>
      <w:lvlText w:val=""/>
      <w:lvlJc w:val="left"/>
      <w:pPr>
        <w:tabs>
          <w:tab w:val="num" w:pos="720"/>
        </w:tabs>
        <w:ind w:left="720" w:hanging="360"/>
      </w:pPr>
      <w:rPr>
        <w:rFonts w:ascii="Wingdings" w:hAnsi="Wingdings" w:hint="default"/>
      </w:rPr>
    </w:lvl>
    <w:lvl w:ilvl="1" w:tplc="827C6B1A">
      <w:start w:val="610"/>
      <w:numFmt w:val="bullet"/>
      <w:lvlText w:val="o"/>
      <w:lvlJc w:val="left"/>
      <w:pPr>
        <w:tabs>
          <w:tab w:val="num" w:pos="1440"/>
        </w:tabs>
        <w:ind w:left="1440" w:hanging="360"/>
      </w:pPr>
      <w:rPr>
        <w:rFonts w:ascii="Courier New" w:hAnsi="Courier New" w:hint="default"/>
      </w:rPr>
    </w:lvl>
    <w:lvl w:ilvl="2" w:tplc="552E3BE0" w:tentative="1">
      <w:start w:val="1"/>
      <w:numFmt w:val="bullet"/>
      <w:lvlText w:val=""/>
      <w:lvlJc w:val="left"/>
      <w:pPr>
        <w:tabs>
          <w:tab w:val="num" w:pos="2160"/>
        </w:tabs>
        <w:ind w:left="2160" w:hanging="360"/>
      </w:pPr>
      <w:rPr>
        <w:rFonts w:ascii="Wingdings" w:hAnsi="Wingdings" w:hint="default"/>
      </w:rPr>
    </w:lvl>
    <w:lvl w:ilvl="3" w:tplc="851C00CC" w:tentative="1">
      <w:start w:val="1"/>
      <w:numFmt w:val="bullet"/>
      <w:lvlText w:val=""/>
      <w:lvlJc w:val="left"/>
      <w:pPr>
        <w:tabs>
          <w:tab w:val="num" w:pos="2880"/>
        </w:tabs>
        <w:ind w:left="2880" w:hanging="360"/>
      </w:pPr>
      <w:rPr>
        <w:rFonts w:ascii="Wingdings" w:hAnsi="Wingdings" w:hint="default"/>
      </w:rPr>
    </w:lvl>
    <w:lvl w:ilvl="4" w:tplc="00AC3E38" w:tentative="1">
      <w:start w:val="1"/>
      <w:numFmt w:val="bullet"/>
      <w:lvlText w:val=""/>
      <w:lvlJc w:val="left"/>
      <w:pPr>
        <w:tabs>
          <w:tab w:val="num" w:pos="3600"/>
        </w:tabs>
        <w:ind w:left="3600" w:hanging="360"/>
      </w:pPr>
      <w:rPr>
        <w:rFonts w:ascii="Wingdings" w:hAnsi="Wingdings" w:hint="default"/>
      </w:rPr>
    </w:lvl>
    <w:lvl w:ilvl="5" w:tplc="6CA4351C" w:tentative="1">
      <w:start w:val="1"/>
      <w:numFmt w:val="bullet"/>
      <w:lvlText w:val=""/>
      <w:lvlJc w:val="left"/>
      <w:pPr>
        <w:tabs>
          <w:tab w:val="num" w:pos="4320"/>
        </w:tabs>
        <w:ind w:left="4320" w:hanging="360"/>
      </w:pPr>
      <w:rPr>
        <w:rFonts w:ascii="Wingdings" w:hAnsi="Wingdings" w:hint="default"/>
      </w:rPr>
    </w:lvl>
    <w:lvl w:ilvl="6" w:tplc="E7F09002" w:tentative="1">
      <w:start w:val="1"/>
      <w:numFmt w:val="bullet"/>
      <w:lvlText w:val=""/>
      <w:lvlJc w:val="left"/>
      <w:pPr>
        <w:tabs>
          <w:tab w:val="num" w:pos="5040"/>
        </w:tabs>
        <w:ind w:left="5040" w:hanging="360"/>
      </w:pPr>
      <w:rPr>
        <w:rFonts w:ascii="Wingdings" w:hAnsi="Wingdings" w:hint="default"/>
      </w:rPr>
    </w:lvl>
    <w:lvl w:ilvl="7" w:tplc="0964B942" w:tentative="1">
      <w:start w:val="1"/>
      <w:numFmt w:val="bullet"/>
      <w:lvlText w:val=""/>
      <w:lvlJc w:val="left"/>
      <w:pPr>
        <w:tabs>
          <w:tab w:val="num" w:pos="5760"/>
        </w:tabs>
        <w:ind w:left="5760" w:hanging="360"/>
      </w:pPr>
      <w:rPr>
        <w:rFonts w:ascii="Wingdings" w:hAnsi="Wingdings" w:hint="default"/>
      </w:rPr>
    </w:lvl>
    <w:lvl w:ilvl="8" w:tplc="C480EDBC" w:tentative="1">
      <w:start w:val="1"/>
      <w:numFmt w:val="bullet"/>
      <w:lvlText w:val=""/>
      <w:lvlJc w:val="left"/>
      <w:pPr>
        <w:tabs>
          <w:tab w:val="num" w:pos="6480"/>
        </w:tabs>
        <w:ind w:left="6480" w:hanging="360"/>
      </w:pPr>
      <w:rPr>
        <w:rFonts w:ascii="Wingdings" w:hAnsi="Wingdings" w:hint="default"/>
      </w:rPr>
    </w:lvl>
  </w:abstractNum>
  <w:abstractNum w:abstractNumId="18">
    <w:nsid w:val="13B40CC5"/>
    <w:multiLevelType w:val="hybridMultilevel"/>
    <w:tmpl w:val="0B0C4A1A"/>
    <w:lvl w:ilvl="0" w:tplc="2A623EB2">
      <w:start w:val="1"/>
      <w:numFmt w:val="bullet"/>
      <w:lvlText w:val=""/>
      <w:lvlJc w:val="left"/>
      <w:pPr>
        <w:tabs>
          <w:tab w:val="num" w:pos="720"/>
        </w:tabs>
        <w:ind w:left="720" w:hanging="360"/>
      </w:pPr>
      <w:rPr>
        <w:rFonts w:ascii="Wingdings" w:hAnsi="Wingdings" w:hint="default"/>
      </w:rPr>
    </w:lvl>
    <w:lvl w:ilvl="1" w:tplc="C762ADC0">
      <w:start w:val="1"/>
      <w:numFmt w:val="bullet"/>
      <w:lvlText w:val=""/>
      <w:lvlJc w:val="left"/>
      <w:pPr>
        <w:tabs>
          <w:tab w:val="num" w:pos="1440"/>
        </w:tabs>
        <w:ind w:left="1440" w:hanging="360"/>
      </w:pPr>
      <w:rPr>
        <w:rFonts w:ascii="Wingdings" w:hAnsi="Wingdings" w:hint="default"/>
      </w:rPr>
    </w:lvl>
    <w:lvl w:ilvl="2" w:tplc="5316F532">
      <w:start w:val="610"/>
      <w:numFmt w:val="bullet"/>
      <w:lvlText w:val=""/>
      <w:lvlJc w:val="left"/>
      <w:pPr>
        <w:tabs>
          <w:tab w:val="num" w:pos="2160"/>
        </w:tabs>
        <w:ind w:left="2160" w:hanging="360"/>
      </w:pPr>
      <w:rPr>
        <w:rFonts w:ascii="Wingdings" w:hAnsi="Wingdings" w:hint="default"/>
      </w:rPr>
    </w:lvl>
    <w:lvl w:ilvl="3" w:tplc="202C9752" w:tentative="1">
      <w:start w:val="1"/>
      <w:numFmt w:val="bullet"/>
      <w:lvlText w:val=""/>
      <w:lvlJc w:val="left"/>
      <w:pPr>
        <w:tabs>
          <w:tab w:val="num" w:pos="2880"/>
        </w:tabs>
        <w:ind w:left="2880" w:hanging="360"/>
      </w:pPr>
      <w:rPr>
        <w:rFonts w:ascii="Wingdings" w:hAnsi="Wingdings" w:hint="default"/>
      </w:rPr>
    </w:lvl>
    <w:lvl w:ilvl="4" w:tplc="AAB2F292" w:tentative="1">
      <w:start w:val="1"/>
      <w:numFmt w:val="bullet"/>
      <w:lvlText w:val=""/>
      <w:lvlJc w:val="left"/>
      <w:pPr>
        <w:tabs>
          <w:tab w:val="num" w:pos="3600"/>
        </w:tabs>
        <w:ind w:left="3600" w:hanging="360"/>
      </w:pPr>
      <w:rPr>
        <w:rFonts w:ascii="Wingdings" w:hAnsi="Wingdings" w:hint="default"/>
      </w:rPr>
    </w:lvl>
    <w:lvl w:ilvl="5" w:tplc="70060088" w:tentative="1">
      <w:start w:val="1"/>
      <w:numFmt w:val="bullet"/>
      <w:lvlText w:val=""/>
      <w:lvlJc w:val="left"/>
      <w:pPr>
        <w:tabs>
          <w:tab w:val="num" w:pos="4320"/>
        </w:tabs>
        <w:ind w:left="4320" w:hanging="360"/>
      </w:pPr>
      <w:rPr>
        <w:rFonts w:ascii="Wingdings" w:hAnsi="Wingdings" w:hint="default"/>
      </w:rPr>
    </w:lvl>
    <w:lvl w:ilvl="6" w:tplc="D1E01B84" w:tentative="1">
      <w:start w:val="1"/>
      <w:numFmt w:val="bullet"/>
      <w:lvlText w:val=""/>
      <w:lvlJc w:val="left"/>
      <w:pPr>
        <w:tabs>
          <w:tab w:val="num" w:pos="5040"/>
        </w:tabs>
        <w:ind w:left="5040" w:hanging="360"/>
      </w:pPr>
      <w:rPr>
        <w:rFonts w:ascii="Wingdings" w:hAnsi="Wingdings" w:hint="default"/>
      </w:rPr>
    </w:lvl>
    <w:lvl w:ilvl="7" w:tplc="F416B6FC" w:tentative="1">
      <w:start w:val="1"/>
      <w:numFmt w:val="bullet"/>
      <w:lvlText w:val=""/>
      <w:lvlJc w:val="left"/>
      <w:pPr>
        <w:tabs>
          <w:tab w:val="num" w:pos="5760"/>
        </w:tabs>
        <w:ind w:left="5760" w:hanging="360"/>
      </w:pPr>
      <w:rPr>
        <w:rFonts w:ascii="Wingdings" w:hAnsi="Wingdings" w:hint="default"/>
      </w:rPr>
    </w:lvl>
    <w:lvl w:ilvl="8" w:tplc="7050479E" w:tentative="1">
      <w:start w:val="1"/>
      <w:numFmt w:val="bullet"/>
      <w:lvlText w:val=""/>
      <w:lvlJc w:val="left"/>
      <w:pPr>
        <w:tabs>
          <w:tab w:val="num" w:pos="6480"/>
        </w:tabs>
        <w:ind w:left="6480" w:hanging="360"/>
      </w:pPr>
      <w:rPr>
        <w:rFonts w:ascii="Wingdings" w:hAnsi="Wingdings" w:hint="default"/>
      </w:rPr>
    </w:lvl>
  </w:abstractNum>
  <w:abstractNum w:abstractNumId="19">
    <w:nsid w:val="16E45D24"/>
    <w:multiLevelType w:val="hybridMultilevel"/>
    <w:tmpl w:val="115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4844BC"/>
    <w:multiLevelType w:val="hybridMultilevel"/>
    <w:tmpl w:val="06EA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8EB2C52"/>
    <w:multiLevelType w:val="hybridMultilevel"/>
    <w:tmpl w:val="0D54BD22"/>
    <w:lvl w:ilvl="0" w:tplc="51B26F38">
      <w:start w:val="1"/>
      <w:numFmt w:val="bullet"/>
      <w:lvlText w:val="•"/>
      <w:lvlJc w:val="left"/>
      <w:pPr>
        <w:tabs>
          <w:tab w:val="num" w:pos="720"/>
        </w:tabs>
        <w:ind w:left="720" w:hanging="360"/>
      </w:pPr>
      <w:rPr>
        <w:rFonts w:ascii="Times New Roman" w:hAnsi="Times New Roman" w:hint="default"/>
      </w:rPr>
    </w:lvl>
    <w:lvl w:ilvl="1" w:tplc="51D01B38" w:tentative="1">
      <w:start w:val="1"/>
      <w:numFmt w:val="bullet"/>
      <w:lvlText w:val="•"/>
      <w:lvlJc w:val="left"/>
      <w:pPr>
        <w:tabs>
          <w:tab w:val="num" w:pos="1440"/>
        </w:tabs>
        <w:ind w:left="1440" w:hanging="360"/>
      </w:pPr>
      <w:rPr>
        <w:rFonts w:ascii="Times New Roman" w:hAnsi="Times New Roman" w:hint="default"/>
      </w:rPr>
    </w:lvl>
    <w:lvl w:ilvl="2" w:tplc="75407A04" w:tentative="1">
      <w:start w:val="1"/>
      <w:numFmt w:val="bullet"/>
      <w:lvlText w:val="•"/>
      <w:lvlJc w:val="left"/>
      <w:pPr>
        <w:tabs>
          <w:tab w:val="num" w:pos="2160"/>
        </w:tabs>
        <w:ind w:left="2160" w:hanging="360"/>
      </w:pPr>
      <w:rPr>
        <w:rFonts w:ascii="Times New Roman" w:hAnsi="Times New Roman" w:hint="default"/>
      </w:rPr>
    </w:lvl>
    <w:lvl w:ilvl="3" w:tplc="49F4A15E" w:tentative="1">
      <w:start w:val="1"/>
      <w:numFmt w:val="bullet"/>
      <w:lvlText w:val="•"/>
      <w:lvlJc w:val="left"/>
      <w:pPr>
        <w:tabs>
          <w:tab w:val="num" w:pos="2880"/>
        </w:tabs>
        <w:ind w:left="2880" w:hanging="360"/>
      </w:pPr>
      <w:rPr>
        <w:rFonts w:ascii="Times New Roman" w:hAnsi="Times New Roman" w:hint="default"/>
      </w:rPr>
    </w:lvl>
    <w:lvl w:ilvl="4" w:tplc="2488CA3E" w:tentative="1">
      <w:start w:val="1"/>
      <w:numFmt w:val="bullet"/>
      <w:lvlText w:val="•"/>
      <w:lvlJc w:val="left"/>
      <w:pPr>
        <w:tabs>
          <w:tab w:val="num" w:pos="3600"/>
        </w:tabs>
        <w:ind w:left="3600" w:hanging="360"/>
      </w:pPr>
      <w:rPr>
        <w:rFonts w:ascii="Times New Roman" w:hAnsi="Times New Roman" w:hint="default"/>
      </w:rPr>
    </w:lvl>
    <w:lvl w:ilvl="5" w:tplc="6A303614" w:tentative="1">
      <w:start w:val="1"/>
      <w:numFmt w:val="bullet"/>
      <w:lvlText w:val="•"/>
      <w:lvlJc w:val="left"/>
      <w:pPr>
        <w:tabs>
          <w:tab w:val="num" w:pos="4320"/>
        </w:tabs>
        <w:ind w:left="4320" w:hanging="360"/>
      </w:pPr>
      <w:rPr>
        <w:rFonts w:ascii="Times New Roman" w:hAnsi="Times New Roman" w:hint="default"/>
      </w:rPr>
    </w:lvl>
    <w:lvl w:ilvl="6" w:tplc="FD320482" w:tentative="1">
      <w:start w:val="1"/>
      <w:numFmt w:val="bullet"/>
      <w:lvlText w:val="•"/>
      <w:lvlJc w:val="left"/>
      <w:pPr>
        <w:tabs>
          <w:tab w:val="num" w:pos="5040"/>
        </w:tabs>
        <w:ind w:left="5040" w:hanging="360"/>
      </w:pPr>
      <w:rPr>
        <w:rFonts w:ascii="Times New Roman" w:hAnsi="Times New Roman" w:hint="default"/>
      </w:rPr>
    </w:lvl>
    <w:lvl w:ilvl="7" w:tplc="33A21826" w:tentative="1">
      <w:start w:val="1"/>
      <w:numFmt w:val="bullet"/>
      <w:lvlText w:val="•"/>
      <w:lvlJc w:val="left"/>
      <w:pPr>
        <w:tabs>
          <w:tab w:val="num" w:pos="5760"/>
        </w:tabs>
        <w:ind w:left="5760" w:hanging="360"/>
      </w:pPr>
      <w:rPr>
        <w:rFonts w:ascii="Times New Roman" w:hAnsi="Times New Roman" w:hint="default"/>
      </w:rPr>
    </w:lvl>
    <w:lvl w:ilvl="8" w:tplc="BB9AAC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96C027E"/>
    <w:multiLevelType w:val="hybridMultilevel"/>
    <w:tmpl w:val="99B89F32"/>
    <w:lvl w:ilvl="0" w:tplc="EE946A26">
      <w:start w:val="1"/>
      <w:numFmt w:val="bullet"/>
      <w:lvlText w:val="•"/>
      <w:lvlJc w:val="left"/>
      <w:pPr>
        <w:tabs>
          <w:tab w:val="num" w:pos="720"/>
        </w:tabs>
        <w:ind w:left="720" w:hanging="360"/>
      </w:pPr>
      <w:rPr>
        <w:rFonts w:ascii="Times New Roman" w:hAnsi="Times New Roman" w:hint="default"/>
      </w:rPr>
    </w:lvl>
    <w:lvl w:ilvl="1" w:tplc="BDA622F8" w:tentative="1">
      <w:start w:val="1"/>
      <w:numFmt w:val="bullet"/>
      <w:lvlText w:val="•"/>
      <w:lvlJc w:val="left"/>
      <w:pPr>
        <w:tabs>
          <w:tab w:val="num" w:pos="1440"/>
        </w:tabs>
        <w:ind w:left="1440" w:hanging="360"/>
      </w:pPr>
      <w:rPr>
        <w:rFonts w:ascii="Times New Roman" w:hAnsi="Times New Roman" w:hint="default"/>
      </w:rPr>
    </w:lvl>
    <w:lvl w:ilvl="2" w:tplc="C7F23F50" w:tentative="1">
      <w:start w:val="1"/>
      <w:numFmt w:val="bullet"/>
      <w:lvlText w:val="•"/>
      <w:lvlJc w:val="left"/>
      <w:pPr>
        <w:tabs>
          <w:tab w:val="num" w:pos="2160"/>
        </w:tabs>
        <w:ind w:left="2160" w:hanging="360"/>
      </w:pPr>
      <w:rPr>
        <w:rFonts w:ascii="Times New Roman" w:hAnsi="Times New Roman" w:hint="default"/>
      </w:rPr>
    </w:lvl>
    <w:lvl w:ilvl="3" w:tplc="44F4C3F8" w:tentative="1">
      <w:start w:val="1"/>
      <w:numFmt w:val="bullet"/>
      <w:lvlText w:val="•"/>
      <w:lvlJc w:val="left"/>
      <w:pPr>
        <w:tabs>
          <w:tab w:val="num" w:pos="2880"/>
        </w:tabs>
        <w:ind w:left="2880" w:hanging="360"/>
      </w:pPr>
      <w:rPr>
        <w:rFonts w:ascii="Times New Roman" w:hAnsi="Times New Roman" w:hint="default"/>
      </w:rPr>
    </w:lvl>
    <w:lvl w:ilvl="4" w:tplc="95869AB6" w:tentative="1">
      <w:start w:val="1"/>
      <w:numFmt w:val="bullet"/>
      <w:lvlText w:val="•"/>
      <w:lvlJc w:val="left"/>
      <w:pPr>
        <w:tabs>
          <w:tab w:val="num" w:pos="3600"/>
        </w:tabs>
        <w:ind w:left="3600" w:hanging="360"/>
      </w:pPr>
      <w:rPr>
        <w:rFonts w:ascii="Times New Roman" w:hAnsi="Times New Roman" w:hint="default"/>
      </w:rPr>
    </w:lvl>
    <w:lvl w:ilvl="5" w:tplc="B2760D74" w:tentative="1">
      <w:start w:val="1"/>
      <w:numFmt w:val="bullet"/>
      <w:lvlText w:val="•"/>
      <w:lvlJc w:val="left"/>
      <w:pPr>
        <w:tabs>
          <w:tab w:val="num" w:pos="4320"/>
        </w:tabs>
        <w:ind w:left="4320" w:hanging="360"/>
      </w:pPr>
      <w:rPr>
        <w:rFonts w:ascii="Times New Roman" w:hAnsi="Times New Roman" w:hint="default"/>
      </w:rPr>
    </w:lvl>
    <w:lvl w:ilvl="6" w:tplc="99FE4D74" w:tentative="1">
      <w:start w:val="1"/>
      <w:numFmt w:val="bullet"/>
      <w:lvlText w:val="•"/>
      <w:lvlJc w:val="left"/>
      <w:pPr>
        <w:tabs>
          <w:tab w:val="num" w:pos="5040"/>
        </w:tabs>
        <w:ind w:left="5040" w:hanging="360"/>
      </w:pPr>
      <w:rPr>
        <w:rFonts w:ascii="Times New Roman" w:hAnsi="Times New Roman" w:hint="default"/>
      </w:rPr>
    </w:lvl>
    <w:lvl w:ilvl="7" w:tplc="E3F4824A" w:tentative="1">
      <w:start w:val="1"/>
      <w:numFmt w:val="bullet"/>
      <w:lvlText w:val="•"/>
      <w:lvlJc w:val="left"/>
      <w:pPr>
        <w:tabs>
          <w:tab w:val="num" w:pos="5760"/>
        </w:tabs>
        <w:ind w:left="5760" w:hanging="360"/>
      </w:pPr>
      <w:rPr>
        <w:rFonts w:ascii="Times New Roman" w:hAnsi="Times New Roman" w:hint="default"/>
      </w:rPr>
    </w:lvl>
    <w:lvl w:ilvl="8" w:tplc="E3AE34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7FE6EDC"/>
    <w:multiLevelType w:val="hybridMultilevel"/>
    <w:tmpl w:val="CCA4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157B4F"/>
    <w:multiLevelType w:val="hybridMultilevel"/>
    <w:tmpl w:val="B380B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F52614"/>
    <w:multiLevelType w:val="hybridMultilevel"/>
    <w:tmpl w:val="EBD618D0"/>
    <w:lvl w:ilvl="0" w:tplc="0002BF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874BE">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26">
    <w:nsid w:val="40151580"/>
    <w:multiLevelType w:val="hybridMultilevel"/>
    <w:tmpl w:val="F788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8A2FFB"/>
    <w:multiLevelType w:val="hybridMultilevel"/>
    <w:tmpl w:val="BD3E8BD2"/>
    <w:lvl w:ilvl="0" w:tplc="A3765914">
      <w:start w:val="1"/>
      <w:numFmt w:val="bullet"/>
      <w:lvlText w:val=""/>
      <w:lvlJc w:val="left"/>
      <w:pPr>
        <w:tabs>
          <w:tab w:val="num" w:pos="720"/>
        </w:tabs>
        <w:ind w:left="720" w:hanging="360"/>
      </w:pPr>
      <w:rPr>
        <w:rFonts w:ascii="Wingdings" w:hAnsi="Wingdings" w:hint="default"/>
      </w:rPr>
    </w:lvl>
    <w:lvl w:ilvl="1" w:tplc="EBDCF176">
      <w:start w:val="610"/>
      <w:numFmt w:val="bullet"/>
      <w:lvlText w:val="o"/>
      <w:lvlJc w:val="left"/>
      <w:pPr>
        <w:tabs>
          <w:tab w:val="num" w:pos="1440"/>
        </w:tabs>
        <w:ind w:left="1440" w:hanging="360"/>
      </w:pPr>
      <w:rPr>
        <w:rFonts w:ascii="Courier New" w:hAnsi="Courier New" w:hint="default"/>
      </w:rPr>
    </w:lvl>
    <w:lvl w:ilvl="2" w:tplc="DDF80260" w:tentative="1">
      <w:start w:val="1"/>
      <w:numFmt w:val="bullet"/>
      <w:lvlText w:val=""/>
      <w:lvlJc w:val="left"/>
      <w:pPr>
        <w:tabs>
          <w:tab w:val="num" w:pos="2160"/>
        </w:tabs>
        <w:ind w:left="2160" w:hanging="360"/>
      </w:pPr>
      <w:rPr>
        <w:rFonts w:ascii="Wingdings" w:hAnsi="Wingdings" w:hint="default"/>
      </w:rPr>
    </w:lvl>
    <w:lvl w:ilvl="3" w:tplc="9BAED128" w:tentative="1">
      <w:start w:val="1"/>
      <w:numFmt w:val="bullet"/>
      <w:lvlText w:val=""/>
      <w:lvlJc w:val="left"/>
      <w:pPr>
        <w:tabs>
          <w:tab w:val="num" w:pos="2880"/>
        </w:tabs>
        <w:ind w:left="2880" w:hanging="360"/>
      </w:pPr>
      <w:rPr>
        <w:rFonts w:ascii="Wingdings" w:hAnsi="Wingdings" w:hint="default"/>
      </w:rPr>
    </w:lvl>
    <w:lvl w:ilvl="4" w:tplc="A5B4913C" w:tentative="1">
      <w:start w:val="1"/>
      <w:numFmt w:val="bullet"/>
      <w:lvlText w:val=""/>
      <w:lvlJc w:val="left"/>
      <w:pPr>
        <w:tabs>
          <w:tab w:val="num" w:pos="3600"/>
        </w:tabs>
        <w:ind w:left="3600" w:hanging="360"/>
      </w:pPr>
      <w:rPr>
        <w:rFonts w:ascii="Wingdings" w:hAnsi="Wingdings" w:hint="default"/>
      </w:rPr>
    </w:lvl>
    <w:lvl w:ilvl="5" w:tplc="40DA63B8" w:tentative="1">
      <w:start w:val="1"/>
      <w:numFmt w:val="bullet"/>
      <w:lvlText w:val=""/>
      <w:lvlJc w:val="left"/>
      <w:pPr>
        <w:tabs>
          <w:tab w:val="num" w:pos="4320"/>
        </w:tabs>
        <w:ind w:left="4320" w:hanging="360"/>
      </w:pPr>
      <w:rPr>
        <w:rFonts w:ascii="Wingdings" w:hAnsi="Wingdings" w:hint="default"/>
      </w:rPr>
    </w:lvl>
    <w:lvl w:ilvl="6" w:tplc="25245314" w:tentative="1">
      <w:start w:val="1"/>
      <w:numFmt w:val="bullet"/>
      <w:lvlText w:val=""/>
      <w:lvlJc w:val="left"/>
      <w:pPr>
        <w:tabs>
          <w:tab w:val="num" w:pos="5040"/>
        </w:tabs>
        <w:ind w:left="5040" w:hanging="360"/>
      </w:pPr>
      <w:rPr>
        <w:rFonts w:ascii="Wingdings" w:hAnsi="Wingdings" w:hint="default"/>
      </w:rPr>
    </w:lvl>
    <w:lvl w:ilvl="7" w:tplc="9BB2A730" w:tentative="1">
      <w:start w:val="1"/>
      <w:numFmt w:val="bullet"/>
      <w:lvlText w:val=""/>
      <w:lvlJc w:val="left"/>
      <w:pPr>
        <w:tabs>
          <w:tab w:val="num" w:pos="5760"/>
        </w:tabs>
        <w:ind w:left="5760" w:hanging="360"/>
      </w:pPr>
      <w:rPr>
        <w:rFonts w:ascii="Wingdings" w:hAnsi="Wingdings" w:hint="default"/>
      </w:rPr>
    </w:lvl>
    <w:lvl w:ilvl="8" w:tplc="801C3042" w:tentative="1">
      <w:start w:val="1"/>
      <w:numFmt w:val="bullet"/>
      <w:lvlText w:val=""/>
      <w:lvlJc w:val="left"/>
      <w:pPr>
        <w:tabs>
          <w:tab w:val="num" w:pos="6480"/>
        </w:tabs>
        <w:ind w:left="6480" w:hanging="360"/>
      </w:pPr>
      <w:rPr>
        <w:rFonts w:ascii="Wingdings" w:hAnsi="Wingdings" w:hint="default"/>
      </w:rPr>
    </w:lvl>
  </w:abstractNum>
  <w:abstractNum w:abstractNumId="28">
    <w:nsid w:val="40F52835"/>
    <w:multiLevelType w:val="hybridMultilevel"/>
    <w:tmpl w:val="84681A48"/>
    <w:lvl w:ilvl="0" w:tplc="0002BF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CB234">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29">
    <w:nsid w:val="47AF51A2"/>
    <w:multiLevelType w:val="hybridMultilevel"/>
    <w:tmpl w:val="F7A4166E"/>
    <w:lvl w:ilvl="0" w:tplc="0002BF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CB234">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30">
    <w:nsid w:val="47F84BBE"/>
    <w:multiLevelType w:val="hybridMultilevel"/>
    <w:tmpl w:val="EAB49CE2"/>
    <w:lvl w:ilvl="0" w:tplc="0002BF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CB234">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31">
    <w:nsid w:val="48051C36"/>
    <w:multiLevelType w:val="hybridMultilevel"/>
    <w:tmpl w:val="FDB8443A"/>
    <w:lvl w:ilvl="0" w:tplc="911EB7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9A0BD3"/>
    <w:multiLevelType w:val="hybridMultilevel"/>
    <w:tmpl w:val="935818EC"/>
    <w:lvl w:ilvl="0" w:tplc="6374C090">
      <w:start w:val="1"/>
      <w:numFmt w:val="bullet"/>
      <w:lvlText w:val="•"/>
      <w:lvlJc w:val="left"/>
      <w:pPr>
        <w:tabs>
          <w:tab w:val="num" w:pos="720"/>
        </w:tabs>
        <w:ind w:left="720" w:hanging="360"/>
      </w:pPr>
      <w:rPr>
        <w:rFonts w:ascii="Times New Roman" w:hAnsi="Times New Roman" w:hint="default"/>
      </w:rPr>
    </w:lvl>
    <w:lvl w:ilvl="1" w:tplc="0C684CB8" w:tentative="1">
      <w:start w:val="1"/>
      <w:numFmt w:val="bullet"/>
      <w:lvlText w:val="•"/>
      <w:lvlJc w:val="left"/>
      <w:pPr>
        <w:tabs>
          <w:tab w:val="num" w:pos="1440"/>
        </w:tabs>
        <w:ind w:left="1440" w:hanging="360"/>
      </w:pPr>
      <w:rPr>
        <w:rFonts w:ascii="Times New Roman" w:hAnsi="Times New Roman" w:hint="default"/>
      </w:rPr>
    </w:lvl>
    <w:lvl w:ilvl="2" w:tplc="90E8AE90" w:tentative="1">
      <w:start w:val="1"/>
      <w:numFmt w:val="bullet"/>
      <w:lvlText w:val="•"/>
      <w:lvlJc w:val="left"/>
      <w:pPr>
        <w:tabs>
          <w:tab w:val="num" w:pos="2160"/>
        </w:tabs>
        <w:ind w:left="2160" w:hanging="360"/>
      </w:pPr>
      <w:rPr>
        <w:rFonts w:ascii="Times New Roman" w:hAnsi="Times New Roman" w:hint="default"/>
      </w:rPr>
    </w:lvl>
    <w:lvl w:ilvl="3" w:tplc="77FA3382" w:tentative="1">
      <w:start w:val="1"/>
      <w:numFmt w:val="bullet"/>
      <w:lvlText w:val="•"/>
      <w:lvlJc w:val="left"/>
      <w:pPr>
        <w:tabs>
          <w:tab w:val="num" w:pos="2880"/>
        </w:tabs>
        <w:ind w:left="2880" w:hanging="360"/>
      </w:pPr>
      <w:rPr>
        <w:rFonts w:ascii="Times New Roman" w:hAnsi="Times New Roman" w:hint="default"/>
      </w:rPr>
    </w:lvl>
    <w:lvl w:ilvl="4" w:tplc="5768BFCA" w:tentative="1">
      <w:start w:val="1"/>
      <w:numFmt w:val="bullet"/>
      <w:lvlText w:val="•"/>
      <w:lvlJc w:val="left"/>
      <w:pPr>
        <w:tabs>
          <w:tab w:val="num" w:pos="3600"/>
        </w:tabs>
        <w:ind w:left="3600" w:hanging="360"/>
      </w:pPr>
      <w:rPr>
        <w:rFonts w:ascii="Times New Roman" w:hAnsi="Times New Roman" w:hint="default"/>
      </w:rPr>
    </w:lvl>
    <w:lvl w:ilvl="5" w:tplc="4FE6BF62" w:tentative="1">
      <w:start w:val="1"/>
      <w:numFmt w:val="bullet"/>
      <w:lvlText w:val="•"/>
      <w:lvlJc w:val="left"/>
      <w:pPr>
        <w:tabs>
          <w:tab w:val="num" w:pos="4320"/>
        </w:tabs>
        <w:ind w:left="4320" w:hanging="360"/>
      </w:pPr>
      <w:rPr>
        <w:rFonts w:ascii="Times New Roman" w:hAnsi="Times New Roman" w:hint="default"/>
      </w:rPr>
    </w:lvl>
    <w:lvl w:ilvl="6" w:tplc="8898C3DA" w:tentative="1">
      <w:start w:val="1"/>
      <w:numFmt w:val="bullet"/>
      <w:lvlText w:val="•"/>
      <w:lvlJc w:val="left"/>
      <w:pPr>
        <w:tabs>
          <w:tab w:val="num" w:pos="5040"/>
        </w:tabs>
        <w:ind w:left="5040" w:hanging="360"/>
      </w:pPr>
      <w:rPr>
        <w:rFonts w:ascii="Times New Roman" w:hAnsi="Times New Roman" w:hint="default"/>
      </w:rPr>
    </w:lvl>
    <w:lvl w:ilvl="7" w:tplc="3888240A" w:tentative="1">
      <w:start w:val="1"/>
      <w:numFmt w:val="bullet"/>
      <w:lvlText w:val="•"/>
      <w:lvlJc w:val="left"/>
      <w:pPr>
        <w:tabs>
          <w:tab w:val="num" w:pos="5760"/>
        </w:tabs>
        <w:ind w:left="5760" w:hanging="360"/>
      </w:pPr>
      <w:rPr>
        <w:rFonts w:ascii="Times New Roman" w:hAnsi="Times New Roman" w:hint="default"/>
      </w:rPr>
    </w:lvl>
    <w:lvl w:ilvl="8" w:tplc="1BBE9EC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93B1DA1"/>
    <w:multiLevelType w:val="hybridMultilevel"/>
    <w:tmpl w:val="C612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530910"/>
    <w:multiLevelType w:val="hybridMultilevel"/>
    <w:tmpl w:val="634E0C5A"/>
    <w:lvl w:ilvl="0" w:tplc="0002BF5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3EEE9A96">
      <w:start w:val="610"/>
      <w:numFmt w:val="bullet"/>
      <w:pStyle w:val="ListParagraph"/>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35">
    <w:nsid w:val="5B0A5834"/>
    <w:multiLevelType w:val="hybridMultilevel"/>
    <w:tmpl w:val="02829CE0"/>
    <w:lvl w:ilvl="0" w:tplc="0002BF5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36">
    <w:nsid w:val="605972FE"/>
    <w:multiLevelType w:val="hybridMultilevel"/>
    <w:tmpl w:val="7A64D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F570D"/>
    <w:multiLevelType w:val="hybridMultilevel"/>
    <w:tmpl w:val="C974FABC"/>
    <w:lvl w:ilvl="0" w:tplc="859AEB9A">
      <w:start w:val="1"/>
      <w:numFmt w:val="bullet"/>
      <w:lvlText w:val=""/>
      <w:lvlJc w:val="left"/>
      <w:pPr>
        <w:tabs>
          <w:tab w:val="num" w:pos="360"/>
        </w:tabs>
        <w:ind w:left="360" w:hanging="360"/>
      </w:pPr>
      <w:rPr>
        <w:rFonts w:ascii="Wingdings" w:hAnsi="Wingdings" w:hint="default"/>
      </w:rPr>
    </w:lvl>
    <w:lvl w:ilvl="1" w:tplc="29F4F68E">
      <w:start w:val="610"/>
      <w:numFmt w:val="bullet"/>
      <w:lvlText w:val=""/>
      <w:lvlJc w:val="left"/>
      <w:pPr>
        <w:tabs>
          <w:tab w:val="num" w:pos="1080"/>
        </w:tabs>
        <w:ind w:left="1080" w:hanging="360"/>
      </w:pPr>
      <w:rPr>
        <w:rFonts w:ascii="Wingdings 2" w:hAnsi="Wingdings 2" w:hint="default"/>
      </w:rPr>
    </w:lvl>
    <w:lvl w:ilvl="2" w:tplc="58E6C57C" w:tentative="1">
      <w:start w:val="1"/>
      <w:numFmt w:val="bullet"/>
      <w:lvlText w:val=""/>
      <w:lvlJc w:val="left"/>
      <w:pPr>
        <w:tabs>
          <w:tab w:val="num" w:pos="1800"/>
        </w:tabs>
        <w:ind w:left="1800" w:hanging="360"/>
      </w:pPr>
      <w:rPr>
        <w:rFonts w:ascii="Wingdings" w:hAnsi="Wingdings" w:hint="default"/>
      </w:rPr>
    </w:lvl>
    <w:lvl w:ilvl="3" w:tplc="E200BB42" w:tentative="1">
      <w:start w:val="1"/>
      <w:numFmt w:val="bullet"/>
      <w:lvlText w:val=""/>
      <w:lvlJc w:val="left"/>
      <w:pPr>
        <w:tabs>
          <w:tab w:val="num" w:pos="2520"/>
        </w:tabs>
        <w:ind w:left="2520" w:hanging="360"/>
      </w:pPr>
      <w:rPr>
        <w:rFonts w:ascii="Wingdings" w:hAnsi="Wingdings" w:hint="default"/>
      </w:rPr>
    </w:lvl>
    <w:lvl w:ilvl="4" w:tplc="4A40E0DA" w:tentative="1">
      <w:start w:val="1"/>
      <w:numFmt w:val="bullet"/>
      <w:lvlText w:val=""/>
      <w:lvlJc w:val="left"/>
      <w:pPr>
        <w:tabs>
          <w:tab w:val="num" w:pos="3240"/>
        </w:tabs>
        <w:ind w:left="3240" w:hanging="360"/>
      </w:pPr>
      <w:rPr>
        <w:rFonts w:ascii="Wingdings" w:hAnsi="Wingdings" w:hint="default"/>
      </w:rPr>
    </w:lvl>
    <w:lvl w:ilvl="5" w:tplc="8DBAB72A" w:tentative="1">
      <w:start w:val="1"/>
      <w:numFmt w:val="bullet"/>
      <w:lvlText w:val=""/>
      <w:lvlJc w:val="left"/>
      <w:pPr>
        <w:tabs>
          <w:tab w:val="num" w:pos="3960"/>
        </w:tabs>
        <w:ind w:left="3960" w:hanging="360"/>
      </w:pPr>
      <w:rPr>
        <w:rFonts w:ascii="Wingdings" w:hAnsi="Wingdings" w:hint="default"/>
      </w:rPr>
    </w:lvl>
    <w:lvl w:ilvl="6" w:tplc="63F2C508" w:tentative="1">
      <w:start w:val="1"/>
      <w:numFmt w:val="bullet"/>
      <w:lvlText w:val=""/>
      <w:lvlJc w:val="left"/>
      <w:pPr>
        <w:tabs>
          <w:tab w:val="num" w:pos="4680"/>
        </w:tabs>
        <w:ind w:left="4680" w:hanging="360"/>
      </w:pPr>
      <w:rPr>
        <w:rFonts w:ascii="Wingdings" w:hAnsi="Wingdings" w:hint="default"/>
      </w:rPr>
    </w:lvl>
    <w:lvl w:ilvl="7" w:tplc="6390F21A" w:tentative="1">
      <w:start w:val="1"/>
      <w:numFmt w:val="bullet"/>
      <w:lvlText w:val=""/>
      <w:lvlJc w:val="left"/>
      <w:pPr>
        <w:tabs>
          <w:tab w:val="num" w:pos="5400"/>
        </w:tabs>
        <w:ind w:left="5400" w:hanging="360"/>
      </w:pPr>
      <w:rPr>
        <w:rFonts w:ascii="Wingdings" w:hAnsi="Wingdings" w:hint="default"/>
      </w:rPr>
    </w:lvl>
    <w:lvl w:ilvl="8" w:tplc="4FF27C84" w:tentative="1">
      <w:start w:val="1"/>
      <w:numFmt w:val="bullet"/>
      <w:lvlText w:val=""/>
      <w:lvlJc w:val="left"/>
      <w:pPr>
        <w:tabs>
          <w:tab w:val="num" w:pos="6120"/>
        </w:tabs>
        <w:ind w:left="6120" w:hanging="360"/>
      </w:pPr>
      <w:rPr>
        <w:rFonts w:ascii="Wingdings" w:hAnsi="Wingdings" w:hint="default"/>
      </w:rPr>
    </w:lvl>
  </w:abstractNum>
  <w:abstractNum w:abstractNumId="38">
    <w:nsid w:val="60B251BB"/>
    <w:multiLevelType w:val="hybridMultilevel"/>
    <w:tmpl w:val="7478BAAC"/>
    <w:lvl w:ilvl="0" w:tplc="F9503F7C">
      <w:start w:val="1"/>
      <w:numFmt w:val="bullet"/>
      <w:lvlText w:val="•"/>
      <w:lvlJc w:val="left"/>
      <w:pPr>
        <w:tabs>
          <w:tab w:val="num" w:pos="720"/>
        </w:tabs>
        <w:ind w:left="720" w:hanging="360"/>
      </w:pPr>
      <w:rPr>
        <w:rFonts w:ascii="Times New Roman" w:hAnsi="Times New Roman" w:hint="default"/>
      </w:rPr>
    </w:lvl>
    <w:lvl w:ilvl="1" w:tplc="C23AC95C" w:tentative="1">
      <w:start w:val="1"/>
      <w:numFmt w:val="bullet"/>
      <w:lvlText w:val="•"/>
      <w:lvlJc w:val="left"/>
      <w:pPr>
        <w:tabs>
          <w:tab w:val="num" w:pos="1440"/>
        </w:tabs>
        <w:ind w:left="1440" w:hanging="360"/>
      </w:pPr>
      <w:rPr>
        <w:rFonts w:ascii="Times New Roman" w:hAnsi="Times New Roman" w:hint="default"/>
      </w:rPr>
    </w:lvl>
    <w:lvl w:ilvl="2" w:tplc="4E407FDA" w:tentative="1">
      <w:start w:val="1"/>
      <w:numFmt w:val="bullet"/>
      <w:lvlText w:val="•"/>
      <w:lvlJc w:val="left"/>
      <w:pPr>
        <w:tabs>
          <w:tab w:val="num" w:pos="2160"/>
        </w:tabs>
        <w:ind w:left="2160" w:hanging="360"/>
      </w:pPr>
      <w:rPr>
        <w:rFonts w:ascii="Times New Roman" w:hAnsi="Times New Roman" w:hint="default"/>
      </w:rPr>
    </w:lvl>
    <w:lvl w:ilvl="3" w:tplc="2F94AED6" w:tentative="1">
      <w:start w:val="1"/>
      <w:numFmt w:val="bullet"/>
      <w:lvlText w:val="•"/>
      <w:lvlJc w:val="left"/>
      <w:pPr>
        <w:tabs>
          <w:tab w:val="num" w:pos="2880"/>
        </w:tabs>
        <w:ind w:left="2880" w:hanging="360"/>
      </w:pPr>
      <w:rPr>
        <w:rFonts w:ascii="Times New Roman" w:hAnsi="Times New Roman" w:hint="default"/>
      </w:rPr>
    </w:lvl>
    <w:lvl w:ilvl="4" w:tplc="E49EFC30" w:tentative="1">
      <w:start w:val="1"/>
      <w:numFmt w:val="bullet"/>
      <w:lvlText w:val="•"/>
      <w:lvlJc w:val="left"/>
      <w:pPr>
        <w:tabs>
          <w:tab w:val="num" w:pos="3600"/>
        </w:tabs>
        <w:ind w:left="3600" w:hanging="360"/>
      </w:pPr>
      <w:rPr>
        <w:rFonts w:ascii="Times New Roman" w:hAnsi="Times New Roman" w:hint="default"/>
      </w:rPr>
    </w:lvl>
    <w:lvl w:ilvl="5" w:tplc="5B0C47D0" w:tentative="1">
      <w:start w:val="1"/>
      <w:numFmt w:val="bullet"/>
      <w:lvlText w:val="•"/>
      <w:lvlJc w:val="left"/>
      <w:pPr>
        <w:tabs>
          <w:tab w:val="num" w:pos="4320"/>
        </w:tabs>
        <w:ind w:left="4320" w:hanging="360"/>
      </w:pPr>
      <w:rPr>
        <w:rFonts w:ascii="Times New Roman" w:hAnsi="Times New Roman" w:hint="default"/>
      </w:rPr>
    </w:lvl>
    <w:lvl w:ilvl="6" w:tplc="8712334A" w:tentative="1">
      <w:start w:val="1"/>
      <w:numFmt w:val="bullet"/>
      <w:lvlText w:val="•"/>
      <w:lvlJc w:val="left"/>
      <w:pPr>
        <w:tabs>
          <w:tab w:val="num" w:pos="5040"/>
        </w:tabs>
        <w:ind w:left="5040" w:hanging="360"/>
      </w:pPr>
      <w:rPr>
        <w:rFonts w:ascii="Times New Roman" w:hAnsi="Times New Roman" w:hint="default"/>
      </w:rPr>
    </w:lvl>
    <w:lvl w:ilvl="7" w:tplc="011CF832" w:tentative="1">
      <w:start w:val="1"/>
      <w:numFmt w:val="bullet"/>
      <w:lvlText w:val="•"/>
      <w:lvlJc w:val="left"/>
      <w:pPr>
        <w:tabs>
          <w:tab w:val="num" w:pos="5760"/>
        </w:tabs>
        <w:ind w:left="5760" w:hanging="360"/>
      </w:pPr>
      <w:rPr>
        <w:rFonts w:ascii="Times New Roman" w:hAnsi="Times New Roman" w:hint="default"/>
      </w:rPr>
    </w:lvl>
    <w:lvl w:ilvl="8" w:tplc="3ED4A75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0DE6D14"/>
    <w:multiLevelType w:val="hybridMultilevel"/>
    <w:tmpl w:val="D95892E2"/>
    <w:lvl w:ilvl="0" w:tplc="8F38BE08">
      <w:start w:val="1"/>
      <w:numFmt w:val="bullet"/>
      <w:lvlText w:val=""/>
      <w:lvlJc w:val="left"/>
      <w:pPr>
        <w:tabs>
          <w:tab w:val="num" w:pos="720"/>
        </w:tabs>
        <w:ind w:left="720" w:hanging="360"/>
      </w:pPr>
      <w:rPr>
        <w:rFonts w:ascii="Wingdings" w:hAnsi="Wingdings" w:hint="default"/>
      </w:rPr>
    </w:lvl>
    <w:lvl w:ilvl="1" w:tplc="E3BC1E38" w:tentative="1">
      <w:start w:val="1"/>
      <w:numFmt w:val="bullet"/>
      <w:lvlText w:val=""/>
      <w:lvlJc w:val="left"/>
      <w:pPr>
        <w:tabs>
          <w:tab w:val="num" w:pos="1440"/>
        </w:tabs>
        <w:ind w:left="1440" w:hanging="360"/>
      </w:pPr>
      <w:rPr>
        <w:rFonts w:ascii="Wingdings" w:hAnsi="Wingdings" w:hint="default"/>
      </w:rPr>
    </w:lvl>
    <w:lvl w:ilvl="2" w:tplc="CAC0BF8C" w:tentative="1">
      <w:start w:val="1"/>
      <w:numFmt w:val="bullet"/>
      <w:lvlText w:val=""/>
      <w:lvlJc w:val="left"/>
      <w:pPr>
        <w:tabs>
          <w:tab w:val="num" w:pos="2160"/>
        </w:tabs>
        <w:ind w:left="2160" w:hanging="360"/>
      </w:pPr>
      <w:rPr>
        <w:rFonts w:ascii="Wingdings" w:hAnsi="Wingdings" w:hint="default"/>
      </w:rPr>
    </w:lvl>
    <w:lvl w:ilvl="3" w:tplc="F1D4EC36" w:tentative="1">
      <w:start w:val="1"/>
      <w:numFmt w:val="bullet"/>
      <w:lvlText w:val=""/>
      <w:lvlJc w:val="left"/>
      <w:pPr>
        <w:tabs>
          <w:tab w:val="num" w:pos="2880"/>
        </w:tabs>
        <w:ind w:left="2880" w:hanging="360"/>
      </w:pPr>
      <w:rPr>
        <w:rFonts w:ascii="Wingdings" w:hAnsi="Wingdings" w:hint="default"/>
      </w:rPr>
    </w:lvl>
    <w:lvl w:ilvl="4" w:tplc="588A0392" w:tentative="1">
      <w:start w:val="1"/>
      <w:numFmt w:val="bullet"/>
      <w:lvlText w:val=""/>
      <w:lvlJc w:val="left"/>
      <w:pPr>
        <w:tabs>
          <w:tab w:val="num" w:pos="3600"/>
        </w:tabs>
        <w:ind w:left="3600" w:hanging="360"/>
      </w:pPr>
      <w:rPr>
        <w:rFonts w:ascii="Wingdings" w:hAnsi="Wingdings" w:hint="default"/>
      </w:rPr>
    </w:lvl>
    <w:lvl w:ilvl="5" w:tplc="4DB489A4" w:tentative="1">
      <w:start w:val="1"/>
      <w:numFmt w:val="bullet"/>
      <w:lvlText w:val=""/>
      <w:lvlJc w:val="left"/>
      <w:pPr>
        <w:tabs>
          <w:tab w:val="num" w:pos="4320"/>
        </w:tabs>
        <w:ind w:left="4320" w:hanging="360"/>
      </w:pPr>
      <w:rPr>
        <w:rFonts w:ascii="Wingdings" w:hAnsi="Wingdings" w:hint="default"/>
      </w:rPr>
    </w:lvl>
    <w:lvl w:ilvl="6" w:tplc="CA9E9A16" w:tentative="1">
      <w:start w:val="1"/>
      <w:numFmt w:val="bullet"/>
      <w:lvlText w:val=""/>
      <w:lvlJc w:val="left"/>
      <w:pPr>
        <w:tabs>
          <w:tab w:val="num" w:pos="5040"/>
        </w:tabs>
        <w:ind w:left="5040" w:hanging="360"/>
      </w:pPr>
      <w:rPr>
        <w:rFonts w:ascii="Wingdings" w:hAnsi="Wingdings" w:hint="default"/>
      </w:rPr>
    </w:lvl>
    <w:lvl w:ilvl="7" w:tplc="A3F47568" w:tentative="1">
      <w:start w:val="1"/>
      <w:numFmt w:val="bullet"/>
      <w:lvlText w:val=""/>
      <w:lvlJc w:val="left"/>
      <w:pPr>
        <w:tabs>
          <w:tab w:val="num" w:pos="5760"/>
        </w:tabs>
        <w:ind w:left="5760" w:hanging="360"/>
      </w:pPr>
      <w:rPr>
        <w:rFonts w:ascii="Wingdings" w:hAnsi="Wingdings" w:hint="default"/>
      </w:rPr>
    </w:lvl>
    <w:lvl w:ilvl="8" w:tplc="97923DE4" w:tentative="1">
      <w:start w:val="1"/>
      <w:numFmt w:val="bullet"/>
      <w:lvlText w:val=""/>
      <w:lvlJc w:val="left"/>
      <w:pPr>
        <w:tabs>
          <w:tab w:val="num" w:pos="6480"/>
        </w:tabs>
        <w:ind w:left="6480" w:hanging="360"/>
      </w:pPr>
      <w:rPr>
        <w:rFonts w:ascii="Wingdings" w:hAnsi="Wingdings" w:hint="default"/>
      </w:rPr>
    </w:lvl>
  </w:abstractNum>
  <w:abstractNum w:abstractNumId="40">
    <w:nsid w:val="66EE0B63"/>
    <w:multiLevelType w:val="hybridMultilevel"/>
    <w:tmpl w:val="59347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8C3E32"/>
    <w:multiLevelType w:val="hybridMultilevel"/>
    <w:tmpl w:val="890AC3F2"/>
    <w:lvl w:ilvl="0" w:tplc="911EB7D2">
      <w:start w:val="1"/>
      <w:numFmt w:val="bullet"/>
      <w:lvlText w:val=""/>
      <w:lvlJc w:val="left"/>
      <w:pPr>
        <w:tabs>
          <w:tab w:val="num" w:pos="720"/>
        </w:tabs>
        <w:ind w:left="720" w:hanging="360"/>
      </w:pPr>
      <w:rPr>
        <w:rFonts w:ascii="Wingdings" w:hAnsi="Wingdings" w:hint="default"/>
      </w:rPr>
    </w:lvl>
    <w:lvl w:ilvl="1" w:tplc="6420B450" w:tentative="1">
      <w:start w:val="1"/>
      <w:numFmt w:val="bullet"/>
      <w:lvlText w:val=""/>
      <w:lvlJc w:val="left"/>
      <w:pPr>
        <w:tabs>
          <w:tab w:val="num" w:pos="1440"/>
        </w:tabs>
        <w:ind w:left="1440" w:hanging="360"/>
      </w:pPr>
      <w:rPr>
        <w:rFonts w:ascii="Wingdings" w:hAnsi="Wingdings" w:hint="default"/>
      </w:rPr>
    </w:lvl>
    <w:lvl w:ilvl="2" w:tplc="E9CCFD52" w:tentative="1">
      <w:start w:val="1"/>
      <w:numFmt w:val="bullet"/>
      <w:lvlText w:val=""/>
      <w:lvlJc w:val="left"/>
      <w:pPr>
        <w:tabs>
          <w:tab w:val="num" w:pos="2160"/>
        </w:tabs>
        <w:ind w:left="2160" w:hanging="360"/>
      </w:pPr>
      <w:rPr>
        <w:rFonts w:ascii="Wingdings" w:hAnsi="Wingdings" w:hint="default"/>
      </w:rPr>
    </w:lvl>
    <w:lvl w:ilvl="3" w:tplc="FA26110C" w:tentative="1">
      <w:start w:val="1"/>
      <w:numFmt w:val="bullet"/>
      <w:lvlText w:val=""/>
      <w:lvlJc w:val="left"/>
      <w:pPr>
        <w:tabs>
          <w:tab w:val="num" w:pos="2880"/>
        </w:tabs>
        <w:ind w:left="2880" w:hanging="360"/>
      </w:pPr>
      <w:rPr>
        <w:rFonts w:ascii="Wingdings" w:hAnsi="Wingdings" w:hint="default"/>
      </w:rPr>
    </w:lvl>
    <w:lvl w:ilvl="4" w:tplc="407C5634" w:tentative="1">
      <w:start w:val="1"/>
      <w:numFmt w:val="bullet"/>
      <w:lvlText w:val=""/>
      <w:lvlJc w:val="left"/>
      <w:pPr>
        <w:tabs>
          <w:tab w:val="num" w:pos="3600"/>
        </w:tabs>
        <w:ind w:left="3600" w:hanging="360"/>
      </w:pPr>
      <w:rPr>
        <w:rFonts w:ascii="Wingdings" w:hAnsi="Wingdings" w:hint="default"/>
      </w:rPr>
    </w:lvl>
    <w:lvl w:ilvl="5" w:tplc="8A380226" w:tentative="1">
      <w:start w:val="1"/>
      <w:numFmt w:val="bullet"/>
      <w:lvlText w:val=""/>
      <w:lvlJc w:val="left"/>
      <w:pPr>
        <w:tabs>
          <w:tab w:val="num" w:pos="4320"/>
        </w:tabs>
        <w:ind w:left="4320" w:hanging="360"/>
      </w:pPr>
      <w:rPr>
        <w:rFonts w:ascii="Wingdings" w:hAnsi="Wingdings" w:hint="default"/>
      </w:rPr>
    </w:lvl>
    <w:lvl w:ilvl="6" w:tplc="B02AD7EA" w:tentative="1">
      <w:start w:val="1"/>
      <w:numFmt w:val="bullet"/>
      <w:lvlText w:val=""/>
      <w:lvlJc w:val="left"/>
      <w:pPr>
        <w:tabs>
          <w:tab w:val="num" w:pos="5040"/>
        </w:tabs>
        <w:ind w:left="5040" w:hanging="360"/>
      </w:pPr>
      <w:rPr>
        <w:rFonts w:ascii="Wingdings" w:hAnsi="Wingdings" w:hint="default"/>
      </w:rPr>
    </w:lvl>
    <w:lvl w:ilvl="7" w:tplc="A46A04E0" w:tentative="1">
      <w:start w:val="1"/>
      <w:numFmt w:val="bullet"/>
      <w:lvlText w:val=""/>
      <w:lvlJc w:val="left"/>
      <w:pPr>
        <w:tabs>
          <w:tab w:val="num" w:pos="5760"/>
        </w:tabs>
        <w:ind w:left="5760" w:hanging="360"/>
      </w:pPr>
      <w:rPr>
        <w:rFonts w:ascii="Wingdings" w:hAnsi="Wingdings" w:hint="default"/>
      </w:rPr>
    </w:lvl>
    <w:lvl w:ilvl="8" w:tplc="4D1E07D4" w:tentative="1">
      <w:start w:val="1"/>
      <w:numFmt w:val="bullet"/>
      <w:lvlText w:val=""/>
      <w:lvlJc w:val="left"/>
      <w:pPr>
        <w:tabs>
          <w:tab w:val="num" w:pos="6480"/>
        </w:tabs>
        <w:ind w:left="6480" w:hanging="360"/>
      </w:pPr>
      <w:rPr>
        <w:rFonts w:ascii="Wingdings" w:hAnsi="Wingdings" w:hint="default"/>
      </w:rPr>
    </w:lvl>
  </w:abstractNum>
  <w:abstractNum w:abstractNumId="42">
    <w:nsid w:val="6D077046"/>
    <w:multiLevelType w:val="hybridMultilevel"/>
    <w:tmpl w:val="0D12E0BA"/>
    <w:lvl w:ilvl="0" w:tplc="0002BF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CB234">
      <w:start w:val="610"/>
      <w:numFmt w:val="bullet"/>
      <w:lvlText w:val=""/>
      <w:lvlJc w:val="left"/>
      <w:pPr>
        <w:tabs>
          <w:tab w:val="num" w:pos="2160"/>
        </w:tabs>
        <w:ind w:left="2160" w:hanging="360"/>
      </w:pPr>
      <w:rPr>
        <w:rFonts w:ascii="Wingdings" w:hAnsi="Wingdings" w:hint="default"/>
      </w:rPr>
    </w:lvl>
    <w:lvl w:ilvl="3" w:tplc="162E4938" w:tentative="1">
      <w:start w:val="1"/>
      <w:numFmt w:val="bullet"/>
      <w:lvlText w:val=""/>
      <w:lvlJc w:val="left"/>
      <w:pPr>
        <w:tabs>
          <w:tab w:val="num" w:pos="2880"/>
        </w:tabs>
        <w:ind w:left="2880" w:hanging="360"/>
      </w:pPr>
      <w:rPr>
        <w:rFonts w:ascii="Wingdings" w:hAnsi="Wingdings" w:hint="default"/>
      </w:rPr>
    </w:lvl>
    <w:lvl w:ilvl="4" w:tplc="75387E82" w:tentative="1">
      <w:start w:val="1"/>
      <w:numFmt w:val="bullet"/>
      <w:lvlText w:val=""/>
      <w:lvlJc w:val="left"/>
      <w:pPr>
        <w:tabs>
          <w:tab w:val="num" w:pos="3600"/>
        </w:tabs>
        <w:ind w:left="3600" w:hanging="360"/>
      </w:pPr>
      <w:rPr>
        <w:rFonts w:ascii="Wingdings" w:hAnsi="Wingdings" w:hint="default"/>
      </w:rPr>
    </w:lvl>
    <w:lvl w:ilvl="5" w:tplc="ABA0BDC0" w:tentative="1">
      <w:start w:val="1"/>
      <w:numFmt w:val="bullet"/>
      <w:lvlText w:val=""/>
      <w:lvlJc w:val="left"/>
      <w:pPr>
        <w:tabs>
          <w:tab w:val="num" w:pos="4320"/>
        </w:tabs>
        <w:ind w:left="4320" w:hanging="360"/>
      </w:pPr>
      <w:rPr>
        <w:rFonts w:ascii="Wingdings" w:hAnsi="Wingdings" w:hint="default"/>
      </w:rPr>
    </w:lvl>
    <w:lvl w:ilvl="6" w:tplc="F676B5C0" w:tentative="1">
      <w:start w:val="1"/>
      <w:numFmt w:val="bullet"/>
      <w:lvlText w:val=""/>
      <w:lvlJc w:val="left"/>
      <w:pPr>
        <w:tabs>
          <w:tab w:val="num" w:pos="5040"/>
        </w:tabs>
        <w:ind w:left="5040" w:hanging="360"/>
      </w:pPr>
      <w:rPr>
        <w:rFonts w:ascii="Wingdings" w:hAnsi="Wingdings" w:hint="default"/>
      </w:rPr>
    </w:lvl>
    <w:lvl w:ilvl="7" w:tplc="F8F8C9AE" w:tentative="1">
      <w:start w:val="1"/>
      <w:numFmt w:val="bullet"/>
      <w:lvlText w:val=""/>
      <w:lvlJc w:val="left"/>
      <w:pPr>
        <w:tabs>
          <w:tab w:val="num" w:pos="5760"/>
        </w:tabs>
        <w:ind w:left="5760" w:hanging="360"/>
      </w:pPr>
      <w:rPr>
        <w:rFonts w:ascii="Wingdings" w:hAnsi="Wingdings" w:hint="default"/>
      </w:rPr>
    </w:lvl>
    <w:lvl w:ilvl="8" w:tplc="C110F462" w:tentative="1">
      <w:start w:val="1"/>
      <w:numFmt w:val="bullet"/>
      <w:lvlText w:val=""/>
      <w:lvlJc w:val="left"/>
      <w:pPr>
        <w:tabs>
          <w:tab w:val="num" w:pos="6480"/>
        </w:tabs>
        <w:ind w:left="6480" w:hanging="360"/>
      </w:pPr>
      <w:rPr>
        <w:rFonts w:ascii="Wingdings" w:hAnsi="Wingdings" w:hint="default"/>
      </w:rPr>
    </w:lvl>
  </w:abstractNum>
  <w:abstractNum w:abstractNumId="43">
    <w:nsid w:val="71D973F2"/>
    <w:multiLevelType w:val="hybridMultilevel"/>
    <w:tmpl w:val="9692F52E"/>
    <w:lvl w:ilvl="0" w:tplc="6BDA2BD8">
      <w:start w:val="1"/>
      <w:numFmt w:val="bullet"/>
      <w:lvlText w:val=""/>
      <w:lvlJc w:val="left"/>
      <w:pPr>
        <w:tabs>
          <w:tab w:val="num" w:pos="720"/>
        </w:tabs>
        <w:ind w:left="720" w:hanging="360"/>
      </w:pPr>
      <w:rPr>
        <w:rFonts w:ascii="Wingdings" w:hAnsi="Wingdings" w:hint="default"/>
      </w:rPr>
    </w:lvl>
    <w:lvl w:ilvl="1" w:tplc="467A4392" w:tentative="1">
      <w:start w:val="1"/>
      <w:numFmt w:val="bullet"/>
      <w:lvlText w:val=""/>
      <w:lvlJc w:val="left"/>
      <w:pPr>
        <w:tabs>
          <w:tab w:val="num" w:pos="1440"/>
        </w:tabs>
        <w:ind w:left="1440" w:hanging="360"/>
      </w:pPr>
      <w:rPr>
        <w:rFonts w:ascii="Wingdings" w:hAnsi="Wingdings" w:hint="default"/>
      </w:rPr>
    </w:lvl>
    <w:lvl w:ilvl="2" w:tplc="8A6CE722" w:tentative="1">
      <w:start w:val="1"/>
      <w:numFmt w:val="bullet"/>
      <w:lvlText w:val=""/>
      <w:lvlJc w:val="left"/>
      <w:pPr>
        <w:tabs>
          <w:tab w:val="num" w:pos="2160"/>
        </w:tabs>
        <w:ind w:left="2160" w:hanging="360"/>
      </w:pPr>
      <w:rPr>
        <w:rFonts w:ascii="Wingdings" w:hAnsi="Wingdings" w:hint="default"/>
      </w:rPr>
    </w:lvl>
    <w:lvl w:ilvl="3" w:tplc="BE263890" w:tentative="1">
      <w:start w:val="1"/>
      <w:numFmt w:val="bullet"/>
      <w:lvlText w:val=""/>
      <w:lvlJc w:val="left"/>
      <w:pPr>
        <w:tabs>
          <w:tab w:val="num" w:pos="2880"/>
        </w:tabs>
        <w:ind w:left="2880" w:hanging="360"/>
      </w:pPr>
      <w:rPr>
        <w:rFonts w:ascii="Wingdings" w:hAnsi="Wingdings" w:hint="default"/>
      </w:rPr>
    </w:lvl>
    <w:lvl w:ilvl="4" w:tplc="7146E52A" w:tentative="1">
      <w:start w:val="1"/>
      <w:numFmt w:val="bullet"/>
      <w:lvlText w:val=""/>
      <w:lvlJc w:val="left"/>
      <w:pPr>
        <w:tabs>
          <w:tab w:val="num" w:pos="3600"/>
        </w:tabs>
        <w:ind w:left="3600" w:hanging="360"/>
      </w:pPr>
      <w:rPr>
        <w:rFonts w:ascii="Wingdings" w:hAnsi="Wingdings" w:hint="default"/>
      </w:rPr>
    </w:lvl>
    <w:lvl w:ilvl="5" w:tplc="22E64BDE" w:tentative="1">
      <w:start w:val="1"/>
      <w:numFmt w:val="bullet"/>
      <w:lvlText w:val=""/>
      <w:lvlJc w:val="left"/>
      <w:pPr>
        <w:tabs>
          <w:tab w:val="num" w:pos="4320"/>
        </w:tabs>
        <w:ind w:left="4320" w:hanging="360"/>
      </w:pPr>
      <w:rPr>
        <w:rFonts w:ascii="Wingdings" w:hAnsi="Wingdings" w:hint="default"/>
      </w:rPr>
    </w:lvl>
    <w:lvl w:ilvl="6" w:tplc="F294BABE" w:tentative="1">
      <w:start w:val="1"/>
      <w:numFmt w:val="bullet"/>
      <w:lvlText w:val=""/>
      <w:lvlJc w:val="left"/>
      <w:pPr>
        <w:tabs>
          <w:tab w:val="num" w:pos="5040"/>
        </w:tabs>
        <w:ind w:left="5040" w:hanging="360"/>
      </w:pPr>
      <w:rPr>
        <w:rFonts w:ascii="Wingdings" w:hAnsi="Wingdings" w:hint="default"/>
      </w:rPr>
    </w:lvl>
    <w:lvl w:ilvl="7" w:tplc="BF9AEA34" w:tentative="1">
      <w:start w:val="1"/>
      <w:numFmt w:val="bullet"/>
      <w:lvlText w:val=""/>
      <w:lvlJc w:val="left"/>
      <w:pPr>
        <w:tabs>
          <w:tab w:val="num" w:pos="5760"/>
        </w:tabs>
        <w:ind w:left="5760" w:hanging="360"/>
      </w:pPr>
      <w:rPr>
        <w:rFonts w:ascii="Wingdings" w:hAnsi="Wingdings" w:hint="default"/>
      </w:rPr>
    </w:lvl>
    <w:lvl w:ilvl="8" w:tplc="574A47E4" w:tentative="1">
      <w:start w:val="1"/>
      <w:numFmt w:val="bullet"/>
      <w:lvlText w:val=""/>
      <w:lvlJc w:val="left"/>
      <w:pPr>
        <w:tabs>
          <w:tab w:val="num" w:pos="6480"/>
        </w:tabs>
        <w:ind w:left="6480" w:hanging="360"/>
      </w:pPr>
      <w:rPr>
        <w:rFonts w:ascii="Wingdings" w:hAnsi="Wingdings" w:hint="default"/>
      </w:rPr>
    </w:lvl>
  </w:abstractNum>
  <w:abstractNum w:abstractNumId="44">
    <w:nsid w:val="73090166"/>
    <w:multiLevelType w:val="hybridMultilevel"/>
    <w:tmpl w:val="96944F14"/>
    <w:lvl w:ilvl="0" w:tplc="473428DE">
      <w:start w:val="1"/>
      <w:numFmt w:val="bullet"/>
      <w:lvlText w:val=""/>
      <w:lvlJc w:val="left"/>
      <w:pPr>
        <w:tabs>
          <w:tab w:val="num" w:pos="720"/>
        </w:tabs>
        <w:ind w:left="720" w:hanging="360"/>
      </w:pPr>
      <w:rPr>
        <w:rFonts w:ascii="Wingdings" w:hAnsi="Wingdings" w:hint="default"/>
      </w:rPr>
    </w:lvl>
    <w:lvl w:ilvl="1" w:tplc="52A4C818">
      <w:start w:val="1"/>
      <w:numFmt w:val="bullet"/>
      <w:lvlText w:val=""/>
      <w:lvlJc w:val="left"/>
      <w:pPr>
        <w:tabs>
          <w:tab w:val="num" w:pos="1440"/>
        </w:tabs>
        <w:ind w:left="1440" w:hanging="360"/>
      </w:pPr>
      <w:rPr>
        <w:rFonts w:ascii="Wingdings" w:hAnsi="Wingdings" w:hint="default"/>
      </w:rPr>
    </w:lvl>
    <w:lvl w:ilvl="2" w:tplc="EC3C646C" w:tentative="1">
      <w:start w:val="1"/>
      <w:numFmt w:val="bullet"/>
      <w:lvlText w:val=""/>
      <w:lvlJc w:val="left"/>
      <w:pPr>
        <w:tabs>
          <w:tab w:val="num" w:pos="2160"/>
        </w:tabs>
        <w:ind w:left="2160" w:hanging="360"/>
      </w:pPr>
      <w:rPr>
        <w:rFonts w:ascii="Wingdings" w:hAnsi="Wingdings" w:hint="default"/>
      </w:rPr>
    </w:lvl>
    <w:lvl w:ilvl="3" w:tplc="FD101454" w:tentative="1">
      <w:start w:val="1"/>
      <w:numFmt w:val="bullet"/>
      <w:lvlText w:val=""/>
      <w:lvlJc w:val="left"/>
      <w:pPr>
        <w:tabs>
          <w:tab w:val="num" w:pos="2880"/>
        </w:tabs>
        <w:ind w:left="2880" w:hanging="360"/>
      </w:pPr>
      <w:rPr>
        <w:rFonts w:ascii="Wingdings" w:hAnsi="Wingdings" w:hint="default"/>
      </w:rPr>
    </w:lvl>
    <w:lvl w:ilvl="4" w:tplc="22846A66" w:tentative="1">
      <w:start w:val="1"/>
      <w:numFmt w:val="bullet"/>
      <w:lvlText w:val=""/>
      <w:lvlJc w:val="left"/>
      <w:pPr>
        <w:tabs>
          <w:tab w:val="num" w:pos="3600"/>
        </w:tabs>
        <w:ind w:left="3600" w:hanging="360"/>
      </w:pPr>
      <w:rPr>
        <w:rFonts w:ascii="Wingdings" w:hAnsi="Wingdings" w:hint="default"/>
      </w:rPr>
    </w:lvl>
    <w:lvl w:ilvl="5" w:tplc="5CD256E6" w:tentative="1">
      <w:start w:val="1"/>
      <w:numFmt w:val="bullet"/>
      <w:lvlText w:val=""/>
      <w:lvlJc w:val="left"/>
      <w:pPr>
        <w:tabs>
          <w:tab w:val="num" w:pos="4320"/>
        </w:tabs>
        <w:ind w:left="4320" w:hanging="360"/>
      </w:pPr>
      <w:rPr>
        <w:rFonts w:ascii="Wingdings" w:hAnsi="Wingdings" w:hint="default"/>
      </w:rPr>
    </w:lvl>
    <w:lvl w:ilvl="6" w:tplc="43C65964" w:tentative="1">
      <w:start w:val="1"/>
      <w:numFmt w:val="bullet"/>
      <w:lvlText w:val=""/>
      <w:lvlJc w:val="left"/>
      <w:pPr>
        <w:tabs>
          <w:tab w:val="num" w:pos="5040"/>
        </w:tabs>
        <w:ind w:left="5040" w:hanging="360"/>
      </w:pPr>
      <w:rPr>
        <w:rFonts w:ascii="Wingdings" w:hAnsi="Wingdings" w:hint="default"/>
      </w:rPr>
    </w:lvl>
    <w:lvl w:ilvl="7" w:tplc="DE666EB6" w:tentative="1">
      <w:start w:val="1"/>
      <w:numFmt w:val="bullet"/>
      <w:lvlText w:val=""/>
      <w:lvlJc w:val="left"/>
      <w:pPr>
        <w:tabs>
          <w:tab w:val="num" w:pos="5760"/>
        </w:tabs>
        <w:ind w:left="5760" w:hanging="360"/>
      </w:pPr>
      <w:rPr>
        <w:rFonts w:ascii="Wingdings" w:hAnsi="Wingdings" w:hint="default"/>
      </w:rPr>
    </w:lvl>
    <w:lvl w:ilvl="8" w:tplc="A64080B8" w:tentative="1">
      <w:start w:val="1"/>
      <w:numFmt w:val="bullet"/>
      <w:lvlText w:val=""/>
      <w:lvlJc w:val="left"/>
      <w:pPr>
        <w:tabs>
          <w:tab w:val="num" w:pos="6480"/>
        </w:tabs>
        <w:ind w:left="6480" w:hanging="360"/>
      </w:pPr>
      <w:rPr>
        <w:rFonts w:ascii="Wingdings" w:hAnsi="Wingdings" w:hint="default"/>
      </w:rPr>
    </w:lvl>
  </w:abstractNum>
  <w:abstractNum w:abstractNumId="45">
    <w:nsid w:val="73776449"/>
    <w:multiLevelType w:val="hybridMultilevel"/>
    <w:tmpl w:val="367A2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3737B6"/>
    <w:multiLevelType w:val="hybridMultilevel"/>
    <w:tmpl w:val="1BF4A612"/>
    <w:lvl w:ilvl="0" w:tplc="AFC842D4">
      <w:start w:val="1"/>
      <w:numFmt w:val="bullet"/>
      <w:lvlText w:val="•"/>
      <w:lvlJc w:val="left"/>
      <w:pPr>
        <w:tabs>
          <w:tab w:val="num" w:pos="720"/>
        </w:tabs>
        <w:ind w:left="720" w:hanging="360"/>
      </w:pPr>
      <w:rPr>
        <w:rFonts w:ascii="Times New Roman" w:hAnsi="Times New Roman" w:hint="default"/>
      </w:rPr>
    </w:lvl>
    <w:lvl w:ilvl="1" w:tplc="28F840A0">
      <w:start w:val="2722"/>
      <w:numFmt w:val="bullet"/>
      <w:lvlText w:val="•"/>
      <w:lvlJc w:val="left"/>
      <w:pPr>
        <w:tabs>
          <w:tab w:val="num" w:pos="1440"/>
        </w:tabs>
        <w:ind w:left="1440" w:hanging="360"/>
      </w:pPr>
      <w:rPr>
        <w:rFonts w:ascii="Times New Roman" w:hAnsi="Times New Roman" w:hint="default"/>
      </w:rPr>
    </w:lvl>
    <w:lvl w:ilvl="2" w:tplc="CBB6B8F0" w:tentative="1">
      <w:start w:val="1"/>
      <w:numFmt w:val="bullet"/>
      <w:lvlText w:val="•"/>
      <w:lvlJc w:val="left"/>
      <w:pPr>
        <w:tabs>
          <w:tab w:val="num" w:pos="2160"/>
        </w:tabs>
        <w:ind w:left="2160" w:hanging="360"/>
      </w:pPr>
      <w:rPr>
        <w:rFonts w:ascii="Times New Roman" w:hAnsi="Times New Roman" w:hint="default"/>
      </w:rPr>
    </w:lvl>
    <w:lvl w:ilvl="3" w:tplc="5BF0A1B4" w:tentative="1">
      <w:start w:val="1"/>
      <w:numFmt w:val="bullet"/>
      <w:lvlText w:val="•"/>
      <w:lvlJc w:val="left"/>
      <w:pPr>
        <w:tabs>
          <w:tab w:val="num" w:pos="2880"/>
        </w:tabs>
        <w:ind w:left="2880" w:hanging="360"/>
      </w:pPr>
      <w:rPr>
        <w:rFonts w:ascii="Times New Roman" w:hAnsi="Times New Roman" w:hint="default"/>
      </w:rPr>
    </w:lvl>
    <w:lvl w:ilvl="4" w:tplc="EB326DF2" w:tentative="1">
      <w:start w:val="1"/>
      <w:numFmt w:val="bullet"/>
      <w:lvlText w:val="•"/>
      <w:lvlJc w:val="left"/>
      <w:pPr>
        <w:tabs>
          <w:tab w:val="num" w:pos="3600"/>
        </w:tabs>
        <w:ind w:left="3600" w:hanging="360"/>
      </w:pPr>
      <w:rPr>
        <w:rFonts w:ascii="Times New Roman" w:hAnsi="Times New Roman" w:hint="default"/>
      </w:rPr>
    </w:lvl>
    <w:lvl w:ilvl="5" w:tplc="5E8A6352" w:tentative="1">
      <w:start w:val="1"/>
      <w:numFmt w:val="bullet"/>
      <w:lvlText w:val="•"/>
      <w:lvlJc w:val="left"/>
      <w:pPr>
        <w:tabs>
          <w:tab w:val="num" w:pos="4320"/>
        </w:tabs>
        <w:ind w:left="4320" w:hanging="360"/>
      </w:pPr>
      <w:rPr>
        <w:rFonts w:ascii="Times New Roman" w:hAnsi="Times New Roman" w:hint="default"/>
      </w:rPr>
    </w:lvl>
    <w:lvl w:ilvl="6" w:tplc="96802F7C" w:tentative="1">
      <w:start w:val="1"/>
      <w:numFmt w:val="bullet"/>
      <w:lvlText w:val="•"/>
      <w:lvlJc w:val="left"/>
      <w:pPr>
        <w:tabs>
          <w:tab w:val="num" w:pos="5040"/>
        </w:tabs>
        <w:ind w:left="5040" w:hanging="360"/>
      </w:pPr>
      <w:rPr>
        <w:rFonts w:ascii="Times New Roman" w:hAnsi="Times New Roman" w:hint="default"/>
      </w:rPr>
    </w:lvl>
    <w:lvl w:ilvl="7" w:tplc="F1CEF09E" w:tentative="1">
      <w:start w:val="1"/>
      <w:numFmt w:val="bullet"/>
      <w:lvlText w:val="•"/>
      <w:lvlJc w:val="left"/>
      <w:pPr>
        <w:tabs>
          <w:tab w:val="num" w:pos="5760"/>
        </w:tabs>
        <w:ind w:left="5760" w:hanging="360"/>
      </w:pPr>
      <w:rPr>
        <w:rFonts w:ascii="Times New Roman" w:hAnsi="Times New Roman" w:hint="default"/>
      </w:rPr>
    </w:lvl>
    <w:lvl w:ilvl="8" w:tplc="98E05E8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6"/>
  </w:num>
  <w:num w:numId="14">
    <w:abstractNumId w:val="15"/>
  </w:num>
  <w:num w:numId="15">
    <w:abstractNumId w:val="23"/>
  </w:num>
  <w:num w:numId="16">
    <w:abstractNumId w:val="13"/>
  </w:num>
  <w:num w:numId="17">
    <w:abstractNumId w:val="33"/>
  </w:num>
  <w:num w:numId="18">
    <w:abstractNumId w:val="45"/>
  </w:num>
  <w:num w:numId="19">
    <w:abstractNumId w:val="24"/>
  </w:num>
  <w:num w:numId="20">
    <w:abstractNumId w:val="40"/>
  </w:num>
  <w:num w:numId="21">
    <w:abstractNumId w:val="37"/>
  </w:num>
  <w:num w:numId="22">
    <w:abstractNumId w:val="17"/>
  </w:num>
  <w:num w:numId="23">
    <w:abstractNumId w:val="44"/>
  </w:num>
  <w:num w:numId="24">
    <w:abstractNumId w:val="18"/>
  </w:num>
  <w:num w:numId="25">
    <w:abstractNumId w:val="41"/>
  </w:num>
  <w:num w:numId="26">
    <w:abstractNumId w:val="43"/>
  </w:num>
  <w:num w:numId="27">
    <w:abstractNumId w:val="27"/>
  </w:num>
  <w:num w:numId="28">
    <w:abstractNumId w:val="39"/>
  </w:num>
  <w:num w:numId="29">
    <w:abstractNumId w:val="10"/>
  </w:num>
  <w:num w:numId="30">
    <w:abstractNumId w:val="46"/>
  </w:num>
  <w:num w:numId="31">
    <w:abstractNumId w:val="11"/>
  </w:num>
  <w:num w:numId="32">
    <w:abstractNumId w:val="21"/>
  </w:num>
  <w:num w:numId="33">
    <w:abstractNumId w:val="31"/>
  </w:num>
  <w:num w:numId="34">
    <w:abstractNumId w:val="12"/>
  </w:num>
  <w:num w:numId="35">
    <w:abstractNumId w:val="14"/>
  </w:num>
  <w:num w:numId="36">
    <w:abstractNumId w:val="36"/>
  </w:num>
  <w:num w:numId="37">
    <w:abstractNumId w:val="38"/>
  </w:num>
  <w:num w:numId="38">
    <w:abstractNumId w:val="22"/>
  </w:num>
  <w:num w:numId="39">
    <w:abstractNumId w:val="32"/>
  </w:num>
  <w:num w:numId="40">
    <w:abstractNumId w:val="19"/>
  </w:num>
  <w:num w:numId="41">
    <w:abstractNumId w:val="34"/>
  </w:num>
  <w:num w:numId="42">
    <w:abstractNumId w:val="30"/>
  </w:num>
  <w:num w:numId="43">
    <w:abstractNumId w:val="25"/>
  </w:num>
  <w:num w:numId="44">
    <w:abstractNumId w:val="35"/>
  </w:num>
  <w:num w:numId="45">
    <w:abstractNumId w:val="28"/>
  </w:num>
  <w:num w:numId="46">
    <w:abstractNumId w:val="42"/>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F6"/>
    <w:rsid w:val="0001359D"/>
    <w:rsid w:val="000169CB"/>
    <w:rsid w:val="0005190D"/>
    <w:rsid w:val="00054C47"/>
    <w:rsid w:val="00081DF6"/>
    <w:rsid w:val="000E05B8"/>
    <w:rsid w:val="000F2B3E"/>
    <w:rsid w:val="000F689F"/>
    <w:rsid w:val="00103EFD"/>
    <w:rsid w:val="0012477A"/>
    <w:rsid w:val="00130D81"/>
    <w:rsid w:val="001629B5"/>
    <w:rsid w:val="00175597"/>
    <w:rsid w:val="00183D7A"/>
    <w:rsid w:val="00190AFA"/>
    <w:rsid w:val="00200341"/>
    <w:rsid w:val="00216ECD"/>
    <w:rsid w:val="00217766"/>
    <w:rsid w:val="00232178"/>
    <w:rsid w:val="00280EC8"/>
    <w:rsid w:val="00281A86"/>
    <w:rsid w:val="002A1E7B"/>
    <w:rsid w:val="002C220F"/>
    <w:rsid w:val="002C4CA8"/>
    <w:rsid w:val="002D082F"/>
    <w:rsid w:val="002D25CC"/>
    <w:rsid w:val="00345755"/>
    <w:rsid w:val="003A40B9"/>
    <w:rsid w:val="003E3D53"/>
    <w:rsid w:val="004025C1"/>
    <w:rsid w:val="0048171E"/>
    <w:rsid w:val="0052212F"/>
    <w:rsid w:val="005926FE"/>
    <w:rsid w:val="00593071"/>
    <w:rsid w:val="00596867"/>
    <w:rsid w:val="005F13B5"/>
    <w:rsid w:val="005F4C20"/>
    <w:rsid w:val="0060670D"/>
    <w:rsid w:val="00612EB2"/>
    <w:rsid w:val="00631C96"/>
    <w:rsid w:val="00632FFF"/>
    <w:rsid w:val="00651E36"/>
    <w:rsid w:val="00682D04"/>
    <w:rsid w:val="006855CB"/>
    <w:rsid w:val="00696B26"/>
    <w:rsid w:val="006A33D8"/>
    <w:rsid w:val="006D206B"/>
    <w:rsid w:val="006D234D"/>
    <w:rsid w:val="006F0369"/>
    <w:rsid w:val="007315A1"/>
    <w:rsid w:val="00745591"/>
    <w:rsid w:val="007E05FB"/>
    <w:rsid w:val="00812CE4"/>
    <w:rsid w:val="008150EA"/>
    <w:rsid w:val="008339B9"/>
    <w:rsid w:val="0087022E"/>
    <w:rsid w:val="008706BC"/>
    <w:rsid w:val="008964C0"/>
    <w:rsid w:val="0097447D"/>
    <w:rsid w:val="009A1D2A"/>
    <w:rsid w:val="009B738C"/>
    <w:rsid w:val="009D351D"/>
    <w:rsid w:val="009F5A65"/>
    <w:rsid w:val="00A40872"/>
    <w:rsid w:val="00A47E40"/>
    <w:rsid w:val="00A504E1"/>
    <w:rsid w:val="00A51265"/>
    <w:rsid w:val="00AA3C09"/>
    <w:rsid w:val="00AF7CD2"/>
    <w:rsid w:val="00B446BE"/>
    <w:rsid w:val="00B45AD2"/>
    <w:rsid w:val="00B866DC"/>
    <w:rsid w:val="00BD6646"/>
    <w:rsid w:val="00BE659C"/>
    <w:rsid w:val="00C3681E"/>
    <w:rsid w:val="00C41023"/>
    <w:rsid w:val="00C4646B"/>
    <w:rsid w:val="00C839B3"/>
    <w:rsid w:val="00CA41F5"/>
    <w:rsid w:val="00D019F7"/>
    <w:rsid w:val="00D967E0"/>
    <w:rsid w:val="00DD24C1"/>
    <w:rsid w:val="00E11991"/>
    <w:rsid w:val="00E63F01"/>
    <w:rsid w:val="00E70A23"/>
    <w:rsid w:val="00E9376A"/>
    <w:rsid w:val="00E93B6F"/>
    <w:rsid w:val="00EE2C6E"/>
    <w:rsid w:val="00F150C2"/>
    <w:rsid w:val="00F16482"/>
    <w:rsid w:val="00F20BF6"/>
    <w:rsid w:val="00F4200C"/>
    <w:rsid w:val="00F57D00"/>
    <w:rsid w:val="00F614A8"/>
    <w:rsid w:val="00FB5F2F"/>
    <w:rsid w:val="00FD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BE659C"/>
    <w:pPr>
      <w:numPr>
        <w:ilvl w:val="2"/>
        <w:numId w:val="41"/>
      </w:numPr>
      <w:spacing w:before="0" w:after="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uiPriority w:val="99"/>
    <w:unhideWhenUsed/>
    <w:locked/>
    <w:rsid w:val="00F20BF6"/>
    <w:rPr>
      <w:color w:val="0000FF"/>
      <w:u w:val="single"/>
    </w:rPr>
  </w:style>
  <w:style w:type="table" w:styleId="LightShading-Accent1">
    <w:name w:val="Light Shading Accent 1"/>
    <w:basedOn w:val="TableNormal"/>
    <w:uiPriority w:val="60"/>
    <w:locked/>
    <w:rsid w:val="00631C9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locked/>
    <w:rsid w:val="00631C9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locked/>
    <w:rsid w:val="00190A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locked/>
    <w:rsid w:val="00190AF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90AF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BE659C"/>
    <w:pPr>
      <w:numPr>
        <w:ilvl w:val="2"/>
        <w:numId w:val="41"/>
      </w:numPr>
      <w:spacing w:before="0" w:after="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uiPriority w:val="99"/>
    <w:unhideWhenUsed/>
    <w:locked/>
    <w:rsid w:val="00F20BF6"/>
    <w:rPr>
      <w:color w:val="0000FF"/>
      <w:u w:val="single"/>
    </w:rPr>
  </w:style>
  <w:style w:type="table" w:styleId="LightShading-Accent1">
    <w:name w:val="Light Shading Accent 1"/>
    <w:basedOn w:val="TableNormal"/>
    <w:uiPriority w:val="60"/>
    <w:locked/>
    <w:rsid w:val="00631C9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locked/>
    <w:rsid w:val="00631C9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locked/>
    <w:rsid w:val="00190A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locked/>
    <w:rsid w:val="00190AF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90AF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1313">
      <w:bodyDiv w:val="1"/>
      <w:marLeft w:val="0"/>
      <w:marRight w:val="0"/>
      <w:marTop w:val="0"/>
      <w:marBottom w:val="0"/>
      <w:divBdr>
        <w:top w:val="none" w:sz="0" w:space="0" w:color="auto"/>
        <w:left w:val="none" w:sz="0" w:space="0" w:color="auto"/>
        <w:bottom w:val="none" w:sz="0" w:space="0" w:color="auto"/>
        <w:right w:val="none" w:sz="0" w:space="0" w:color="auto"/>
      </w:divBdr>
      <w:divsChild>
        <w:div w:id="12651027">
          <w:marLeft w:val="288"/>
          <w:marRight w:val="0"/>
          <w:marTop w:val="240"/>
          <w:marBottom w:val="40"/>
          <w:divBdr>
            <w:top w:val="none" w:sz="0" w:space="0" w:color="auto"/>
            <w:left w:val="none" w:sz="0" w:space="0" w:color="auto"/>
            <w:bottom w:val="none" w:sz="0" w:space="0" w:color="auto"/>
            <w:right w:val="none" w:sz="0" w:space="0" w:color="auto"/>
          </w:divBdr>
        </w:div>
      </w:divsChild>
    </w:div>
    <w:div w:id="338510360">
      <w:bodyDiv w:val="1"/>
      <w:marLeft w:val="0"/>
      <w:marRight w:val="0"/>
      <w:marTop w:val="0"/>
      <w:marBottom w:val="0"/>
      <w:divBdr>
        <w:top w:val="none" w:sz="0" w:space="0" w:color="auto"/>
        <w:left w:val="none" w:sz="0" w:space="0" w:color="auto"/>
        <w:bottom w:val="none" w:sz="0" w:space="0" w:color="auto"/>
        <w:right w:val="none" w:sz="0" w:space="0" w:color="auto"/>
      </w:divBdr>
      <w:divsChild>
        <w:div w:id="401636486">
          <w:marLeft w:val="547"/>
          <w:marRight w:val="0"/>
          <w:marTop w:val="0"/>
          <w:marBottom w:val="0"/>
          <w:divBdr>
            <w:top w:val="none" w:sz="0" w:space="0" w:color="auto"/>
            <w:left w:val="none" w:sz="0" w:space="0" w:color="auto"/>
            <w:bottom w:val="none" w:sz="0" w:space="0" w:color="auto"/>
            <w:right w:val="none" w:sz="0" w:space="0" w:color="auto"/>
          </w:divBdr>
        </w:div>
        <w:div w:id="1333682777">
          <w:marLeft w:val="547"/>
          <w:marRight w:val="0"/>
          <w:marTop w:val="0"/>
          <w:marBottom w:val="0"/>
          <w:divBdr>
            <w:top w:val="none" w:sz="0" w:space="0" w:color="auto"/>
            <w:left w:val="none" w:sz="0" w:space="0" w:color="auto"/>
            <w:bottom w:val="none" w:sz="0" w:space="0" w:color="auto"/>
            <w:right w:val="none" w:sz="0" w:space="0" w:color="auto"/>
          </w:divBdr>
        </w:div>
        <w:div w:id="968972846">
          <w:marLeft w:val="547"/>
          <w:marRight w:val="0"/>
          <w:marTop w:val="0"/>
          <w:marBottom w:val="0"/>
          <w:divBdr>
            <w:top w:val="none" w:sz="0" w:space="0" w:color="auto"/>
            <w:left w:val="none" w:sz="0" w:space="0" w:color="auto"/>
            <w:bottom w:val="none" w:sz="0" w:space="0" w:color="auto"/>
            <w:right w:val="none" w:sz="0" w:space="0" w:color="auto"/>
          </w:divBdr>
        </w:div>
        <w:div w:id="1374423615">
          <w:marLeft w:val="547"/>
          <w:marRight w:val="0"/>
          <w:marTop w:val="0"/>
          <w:marBottom w:val="0"/>
          <w:divBdr>
            <w:top w:val="none" w:sz="0" w:space="0" w:color="auto"/>
            <w:left w:val="none" w:sz="0" w:space="0" w:color="auto"/>
            <w:bottom w:val="none" w:sz="0" w:space="0" w:color="auto"/>
            <w:right w:val="none" w:sz="0" w:space="0" w:color="auto"/>
          </w:divBdr>
        </w:div>
      </w:divsChild>
    </w:div>
    <w:div w:id="568272855">
      <w:bodyDiv w:val="1"/>
      <w:marLeft w:val="0"/>
      <w:marRight w:val="0"/>
      <w:marTop w:val="0"/>
      <w:marBottom w:val="0"/>
      <w:divBdr>
        <w:top w:val="none" w:sz="0" w:space="0" w:color="auto"/>
        <w:left w:val="none" w:sz="0" w:space="0" w:color="auto"/>
        <w:bottom w:val="none" w:sz="0" w:space="0" w:color="auto"/>
        <w:right w:val="none" w:sz="0" w:space="0" w:color="auto"/>
      </w:divBdr>
    </w:div>
    <w:div w:id="684404210">
      <w:bodyDiv w:val="1"/>
      <w:marLeft w:val="0"/>
      <w:marRight w:val="0"/>
      <w:marTop w:val="0"/>
      <w:marBottom w:val="0"/>
      <w:divBdr>
        <w:top w:val="none" w:sz="0" w:space="0" w:color="auto"/>
        <w:left w:val="none" w:sz="0" w:space="0" w:color="auto"/>
        <w:bottom w:val="none" w:sz="0" w:space="0" w:color="auto"/>
        <w:right w:val="none" w:sz="0" w:space="0" w:color="auto"/>
      </w:divBdr>
      <w:divsChild>
        <w:div w:id="852456910">
          <w:marLeft w:val="547"/>
          <w:marRight w:val="0"/>
          <w:marTop w:val="0"/>
          <w:marBottom w:val="0"/>
          <w:divBdr>
            <w:top w:val="none" w:sz="0" w:space="0" w:color="auto"/>
            <w:left w:val="none" w:sz="0" w:space="0" w:color="auto"/>
            <w:bottom w:val="none" w:sz="0" w:space="0" w:color="auto"/>
            <w:right w:val="none" w:sz="0" w:space="0" w:color="auto"/>
          </w:divBdr>
        </w:div>
        <w:div w:id="1268393224">
          <w:marLeft w:val="547"/>
          <w:marRight w:val="0"/>
          <w:marTop w:val="0"/>
          <w:marBottom w:val="0"/>
          <w:divBdr>
            <w:top w:val="none" w:sz="0" w:space="0" w:color="auto"/>
            <w:left w:val="none" w:sz="0" w:space="0" w:color="auto"/>
            <w:bottom w:val="none" w:sz="0" w:space="0" w:color="auto"/>
            <w:right w:val="none" w:sz="0" w:space="0" w:color="auto"/>
          </w:divBdr>
        </w:div>
      </w:divsChild>
    </w:div>
    <w:div w:id="727652194">
      <w:bodyDiv w:val="1"/>
      <w:marLeft w:val="0"/>
      <w:marRight w:val="0"/>
      <w:marTop w:val="0"/>
      <w:marBottom w:val="0"/>
      <w:divBdr>
        <w:top w:val="none" w:sz="0" w:space="0" w:color="auto"/>
        <w:left w:val="none" w:sz="0" w:space="0" w:color="auto"/>
        <w:bottom w:val="none" w:sz="0" w:space="0" w:color="auto"/>
        <w:right w:val="none" w:sz="0" w:space="0" w:color="auto"/>
      </w:divBdr>
    </w:div>
    <w:div w:id="1001468871">
      <w:bodyDiv w:val="1"/>
      <w:marLeft w:val="0"/>
      <w:marRight w:val="0"/>
      <w:marTop w:val="0"/>
      <w:marBottom w:val="0"/>
      <w:divBdr>
        <w:top w:val="none" w:sz="0" w:space="0" w:color="auto"/>
        <w:left w:val="none" w:sz="0" w:space="0" w:color="auto"/>
        <w:bottom w:val="none" w:sz="0" w:space="0" w:color="auto"/>
        <w:right w:val="none" w:sz="0" w:space="0" w:color="auto"/>
      </w:divBdr>
      <w:divsChild>
        <w:div w:id="529949281">
          <w:marLeft w:val="547"/>
          <w:marRight w:val="0"/>
          <w:marTop w:val="0"/>
          <w:marBottom w:val="0"/>
          <w:divBdr>
            <w:top w:val="none" w:sz="0" w:space="0" w:color="auto"/>
            <w:left w:val="none" w:sz="0" w:space="0" w:color="auto"/>
            <w:bottom w:val="none" w:sz="0" w:space="0" w:color="auto"/>
            <w:right w:val="none" w:sz="0" w:space="0" w:color="auto"/>
          </w:divBdr>
        </w:div>
      </w:divsChild>
    </w:div>
    <w:div w:id="1298488672">
      <w:bodyDiv w:val="1"/>
      <w:marLeft w:val="0"/>
      <w:marRight w:val="0"/>
      <w:marTop w:val="0"/>
      <w:marBottom w:val="0"/>
      <w:divBdr>
        <w:top w:val="none" w:sz="0" w:space="0" w:color="auto"/>
        <w:left w:val="none" w:sz="0" w:space="0" w:color="auto"/>
        <w:bottom w:val="none" w:sz="0" w:space="0" w:color="auto"/>
        <w:right w:val="none" w:sz="0" w:space="0" w:color="auto"/>
      </w:divBdr>
    </w:div>
    <w:div w:id="1469855730">
      <w:bodyDiv w:val="1"/>
      <w:marLeft w:val="0"/>
      <w:marRight w:val="0"/>
      <w:marTop w:val="0"/>
      <w:marBottom w:val="0"/>
      <w:divBdr>
        <w:top w:val="none" w:sz="0" w:space="0" w:color="auto"/>
        <w:left w:val="none" w:sz="0" w:space="0" w:color="auto"/>
        <w:bottom w:val="none" w:sz="0" w:space="0" w:color="auto"/>
        <w:right w:val="none" w:sz="0" w:space="0" w:color="auto"/>
      </w:divBdr>
      <w:divsChild>
        <w:div w:id="1610963843">
          <w:marLeft w:val="547"/>
          <w:marRight w:val="0"/>
          <w:marTop w:val="0"/>
          <w:marBottom w:val="0"/>
          <w:divBdr>
            <w:top w:val="none" w:sz="0" w:space="0" w:color="auto"/>
            <w:left w:val="none" w:sz="0" w:space="0" w:color="auto"/>
            <w:bottom w:val="none" w:sz="0" w:space="0" w:color="auto"/>
            <w:right w:val="none" w:sz="0" w:space="0" w:color="auto"/>
          </w:divBdr>
        </w:div>
        <w:div w:id="112553637">
          <w:marLeft w:val="547"/>
          <w:marRight w:val="0"/>
          <w:marTop w:val="0"/>
          <w:marBottom w:val="0"/>
          <w:divBdr>
            <w:top w:val="none" w:sz="0" w:space="0" w:color="auto"/>
            <w:left w:val="none" w:sz="0" w:space="0" w:color="auto"/>
            <w:bottom w:val="none" w:sz="0" w:space="0" w:color="auto"/>
            <w:right w:val="none" w:sz="0" w:space="0" w:color="auto"/>
          </w:divBdr>
        </w:div>
        <w:div w:id="1432821646">
          <w:marLeft w:val="547"/>
          <w:marRight w:val="0"/>
          <w:marTop w:val="0"/>
          <w:marBottom w:val="0"/>
          <w:divBdr>
            <w:top w:val="none" w:sz="0" w:space="0" w:color="auto"/>
            <w:left w:val="none" w:sz="0" w:space="0" w:color="auto"/>
            <w:bottom w:val="none" w:sz="0" w:space="0" w:color="auto"/>
            <w:right w:val="none" w:sz="0" w:space="0" w:color="auto"/>
          </w:divBdr>
        </w:div>
        <w:div w:id="1486123592">
          <w:marLeft w:val="547"/>
          <w:marRight w:val="0"/>
          <w:marTop w:val="0"/>
          <w:marBottom w:val="0"/>
          <w:divBdr>
            <w:top w:val="none" w:sz="0" w:space="0" w:color="auto"/>
            <w:left w:val="none" w:sz="0" w:space="0" w:color="auto"/>
            <w:bottom w:val="none" w:sz="0" w:space="0" w:color="auto"/>
            <w:right w:val="none" w:sz="0" w:space="0" w:color="auto"/>
          </w:divBdr>
        </w:div>
        <w:div w:id="1303735544">
          <w:marLeft w:val="547"/>
          <w:marRight w:val="0"/>
          <w:marTop w:val="0"/>
          <w:marBottom w:val="0"/>
          <w:divBdr>
            <w:top w:val="none" w:sz="0" w:space="0" w:color="auto"/>
            <w:left w:val="none" w:sz="0" w:space="0" w:color="auto"/>
            <w:bottom w:val="none" w:sz="0" w:space="0" w:color="auto"/>
            <w:right w:val="none" w:sz="0" w:space="0" w:color="auto"/>
          </w:divBdr>
        </w:div>
        <w:div w:id="2057393654">
          <w:marLeft w:val="547"/>
          <w:marRight w:val="0"/>
          <w:marTop w:val="0"/>
          <w:marBottom w:val="0"/>
          <w:divBdr>
            <w:top w:val="none" w:sz="0" w:space="0" w:color="auto"/>
            <w:left w:val="none" w:sz="0" w:space="0" w:color="auto"/>
            <w:bottom w:val="none" w:sz="0" w:space="0" w:color="auto"/>
            <w:right w:val="none" w:sz="0" w:space="0" w:color="auto"/>
          </w:divBdr>
        </w:div>
      </w:divsChild>
    </w:div>
    <w:div w:id="1570576116">
      <w:bodyDiv w:val="1"/>
      <w:marLeft w:val="0"/>
      <w:marRight w:val="0"/>
      <w:marTop w:val="0"/>
      <w:marBottom w:val="0"/>
      <w:divBdr>
        <w:top w:val="none" w:sz="0" w:space="0" w:color="auto"/>
        <w:left w:val="none" w:sz="0" w:space="0" w:color="auto"/>
        <w:bottom w:val="none" w:sz="0" w:space="0" w:color="auto"/>
        <w:right w:val="none" w:sz="0" w:space="0" w:color="auto"/>
      </w:divBdr>
    </w:div>
    <w:div w:id="1711807660">
      <w:bodyDiv w:val="1"/>
      <w:marLeft w:val="0"/>
      <w:marRight w:val="0"/>
      <w:marTop w:val="0"/>
      <w:marBottom w:val="0"/>
      <w:divBdr>
        <w:top w:val="none" w:sz="0" w:space="0" w:color="auto"/>
        <w:left w:val="none" w:sz="0" w:space="0" w:color="auto"/>
        <w:bottom w:val="none" w:sz="0" w:space="0" w:color="auto"/>
        <w:right w:val="none" w:sz="0" w:space="0" w:color="auto"/>
      </w:divBdr>
      <w:divsChild>
        <w:div w:id="1552111737">
          <w:marLeft w:val="547"/>
          <w:marRight w:val="0"/>
          <w:marTop w:val="0"/>
          <w:marBottom w:val="0"/>
          <w:divBdr>
            <w:top w:val="none" w:sz="0" w:space="0" w:color="auto"/>
            <w:left w:val="none" w:sz="0" w:space="0" w:color="auto"/>
            <w:bottom w:val="none" w:sz="0" w:space="0" w:color="auto"/>
            <w:right w:val="none" w:sz="0" w:space="0" w:color="auto"/>
          </w:divBdr>
        </w:div>
        <w:div w:id="1784769173">
          <w:marLeft w:val="547"/>
          <w:marRight w:val="0"/>
          <w:marTop w:val="0"/>
          <w:marBottom w:val="0"/>
          <w:divBdr>
            <w:top w:val="none" w:sz="0" w:space="0" w:color="auto"/>
            <w:left w:val="none" w:sz="0" w:space="0" w:color="auto"/>
            <w:bottom w:val="none" w:sz="0" w:space="0" w:color="auto"/>
            <w:right w:val="none" w:sz="0" w:space="0" w:color="auto"/>
          </w:divBdr>
        </w:div>
        <w:div w:id="736786643">
          <w:marLeft w:val="547"/>
          <w:marRight w:val="0"/>
          <w:marTop w:val="0"/>
          <w:marBottom w:val="0"/>
          <w:divBdr>
            <w:top w:val="none" w:sz="0" w:space="0" w:color="auto"/>
            <w:left w:val="none" w:sz="0" w:space="0" w:color="auto"/>
            <w:bottom w:val="none" w:sz="0" w:space="0" w:color="auto"/>
            <w:right w:val="none" w:sz="0" w:space="0" w:color="auto"/>
          </w:divBdr>
        </w:div>
      </w:divsChild>
    </w:div>
    <w:div w:id="1864130199">
      <w:bodyDiv w:val="1"/>
      <w:marLeft w:val="0"/>
      <w:marRight w:val="0"/>
      <w:marTop w:val="0"/>
      <w:marBottom w:val="0"/>
      <w:divBdr>
        <w:top w:val="none" w:sz="0" w:space="0" w:color="auto"/>
        <w:left w:val="none" w:sz="0" w:space="0" w:color="auto"/>
        <w:bottom w:val="none" w:sz="0" w:space="0" w:color="auto"/>
        <w:right w:val="none" w:sz="0" w:space="0" w:color="auto"/>
      </w:divBdr>
      <w:divsChild>
        <w:div w:id="1664356855">
          <w:marLeft w:val="446"/>
          <w:marRight w:val="0"/>
          <w:marTop w:val="0"/>
          <w:marBottom w:val="0"/>
          <w:divBdr>
            <w:top w:val="none" w:sz="0" w:space="0" w:color="auto"/>
            <w:left w:val="none" w:sz="0" w:space="0" w:color="auto"/>
            <w:bottom w:val="none" w:sz="0" w:space="0" w:color="auto"/>
            <w:right w:val="none" w:sz="0" w:space="0" w:color="auto"/>
          </w:divBdr>
        </w:div>
        <w:div w:id="975257386">
          <w:marLeft w:val="446"/>
          <w:marRight w:val="0"/>
          <w:marTop w:val="0"/>
          <w:marBottom w:val="0"/>
          <w:divBdr>
            <w:top w:val="none" w:sz="0" w:space="0" w:color="auto"/>
            <w:left w:val="none" w:sz="0" w:space="0" w:color="auto"/>
            <w:bottom w:val="none" w:sz="0" w:space="0" w:color="auto"/>
            <w:right w:val="none" w:sz="0" w:space="0" w:color="auto"/>
          </w:divBdr>
        </w:div>
        <w:div w:id="841358231">
          <w:marLeft w:val="446"/>
          <w:marRight w:val="0"/>
          <w:marTop w:val="0"/>
          <w:marBottom w:val="0"/>
          <w:divBdr>
            <w:top w:val="none" w:sz="0" w:space="0" w:color="auto"/>
            <w:left w:val="none" w:sz="0" w:space="0" w:color="auto"/>
            <w:bottom w:val="none" w:sz="0" w:space="0" w:color="auto"/>
            <w:right w:val="none" w:sz="0" w:space="0" w:color="auto"/>
          </w:divBdr>
        </w:div>
        <w:div w:id="1522819451">
          <w:marLeft w:val="547"/>
          <w:marRight w:val="0"/>
          <w:marTop w:val="0"/>
          <w:marBottom w:val="0"/>
          <w:divBdr>
            <w:top w:val="none" w:sz="0" w:space="0" w:color="auto"/>
            <w:left w:val="none" w:sz="0" w:space="0" w:color="auto"/>
            <w:bottom w:val="none" w:sz="0" w:space="0" w:color="auto"/>
            <w:right w:val="none" w:sz="0" w:space="0" w:color="auto"/>
          </w:divBdr>
        </w:div>
        <w:div w:id="978849076">
          <w:marLeft w:val="547"/>
          <w:marRight w:val="0"/>
          <w:marTop w:val="0"/>
          <w:marBottom w:val="0"/>
          <w:divBdr>
            <w:top w:val="none" w:sz="0" w:space="0" w:color="auto"/>
            <w:left w:val="none" w:sz="0" w:space="0" w:color="auto"/>
            <w:bottom w:val="none" w:sz="0" w:space="0" w:color="auto"/>
            <w:right w:val="none" w:sz="0" w:space="0" w:color="auto"/>
          </w:divBdr>
        </w:div>
        <w:div w:id="105973344">
          <w:marLeft w:val="547"/>
          <w:marRight w:val="0"/>
          <w:marTop w:val="0"/>
          <w:marBottom w:val="0"/>
          <w:divBdr>
            <w:top w:val="none" w:sz="0" w:space="0" w:color="auto"/>
            <w:left w:val="none" w:sz="0" w:space="0" w:color="auto"/>
            <w:bottom w:val="none" w:sz="0" w:space="0" w:color="auto"/>
            <w:right w:val="none" w:sz="0" w:space="0" w:color="auto"/>
          </w:divBdr>
        </w:div>
        <w:div w:id="1347947864">
          <w:marLeft w:val="547"/>
          <w:marRight w:val="0"/>
          <w:marTop w:val="0"/>
          <w:marBottom w:val="0"/>
          <w:divBdr>
            <w:top w:val="none" w:sz="0" w:space="0" w:color="auto"/>
            <w:left w:val="none" w:sz="0" w:space="0" w:color="auto"/>
            <w:bottom w:val="none" w:sz="0" w:space="0" w:color="auto"/>
            <w:right w:val="none" w:sz="0" w:space="0" w:color="auto"/>
          </w:divBdr>
        </w:div>
        <w:div w:id="1748652108">
          <w:marLeft w:val="547"/>
          <w:marRight w:val="0"/>
          <w:marTop w:val="0"/>
          <w:marBottom w:val="0"/>
          <w:divBdr>
            <w:top w:val="none" w:sz="0" w:space="0" w:color="auto"/>
            <w:left w:val="none" w:sz="0" w:space="0" w:color="auto"/>
            <w:bottom w:val="none" w:sz="0" w:space="0" w:color="auto"/>
            <w:right w:val="none" w:sz="0" w:space="0" w:color="auto"/>
          </w:divBdr>
        </w:div>
      </w:divsChild>
    </w:div>
    <w:div w:id="1897889393">
      <w:bodyDiv w:val="1"/>
      <w:marLeft w:val="0"/>
      <w:marRight w:val="0"/>
      <w:marTop w:val="0"/>
      <w:marBottom w:val="0"/>
      <w:divBdr>
        <w:top w:val="none" w:sz="0" w:space="0" w:color="auto"/>
        <w:left w:val="none" w:sz="0" w:space="0" w:color="auto"/>
        <w:bottom w:val="none" w:sz="0" w:space="0" w:color="auto"/>
        <w:right w:val="none" w:sz="0" w:space="0" w:color="auto"/>
      </w:divBdr>
    </w:div>
    <w:div w:id="2070810184">
      <w:bodyDiv w:val="1"/>
      <w:marLeft w:val="0"/>
      <w:marRight w:val="0"/>
      <w:marTop w:val="0"/>
      <w:marBottom w:val="0"/>
      <w:divBdr>
        <w:top w:val="none" w:sz="0" w:space="0" w:color="auto"/>
        <w:left w:val="none" w:sz="0" w:space="0" w:color="auto"/>
        <w:bottom w:val="none" w:sz="0" w:space="0" w:color="auto"/>
        <w:right w:val="none" w:sz="0" w:space="0" w:color="auto"/>
      </w:divBdr>
      <w:divsChild>
        <w:div w:id="189801704">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gov/AEFLA"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mnabe.org/program-management/law-policy-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ed.gov/aboust/offices/list/osers/rsa/wioa-reauthorization.html"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mailto:DOL.WIOA@dol.gov"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doleta.gov/WIOA" TargetMode="Externa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FC341-8FEF-FD4A-8634-E69DDAB02785}" type="doc">
      <dgm:prSet loTypeId="urn:microsoft.com/office/officeart/2005/8/layout/chevron2" loCatId="" qsTypeId="urn:microsoft.com/office/officeart/2005/8/quickstyle/3d2" qsCatId="3D" csTypeId="urn:microsoft.com/office/officeart/2005/8/colors/accent0_3" csCatId="mainScheme" phldr="1"/>
      <dgm:spPr/>
      <dgm:t>
        <a:bodyPr/>
        <a:lstStyle/>
        <a:p>
          <a:endParaRPr lang="en-US"/>
        </a:p>
      </dgm:t>
    </dgm:pt>
    <dgm:pt modelId="{FB6BD065-5440-C743-B99D-705B94DA8C6D}">
      <dgm:prSet phldrT="[Text]" custT="1"/>
      <dgm:spPr/>
      <dgm:t>
        <a:bodyPr/>
        <a:lstStyle/>
        <a:p>
          <a:r>
            <a:rPr lang="en-US" sz="1200" b="1" dirty="0" smtClean="0">
              <a:solidFill>
                <a:srgbClr val="FFFFFF"/>
              </a:solidFill>
              <a:latin typeface="Arial" panose="020B0604020202020204" pitchFamily="34" charset="0"/>
              <a:cs typeface="Arial" panose="020B0604020202020204" pitchFamily="34" charset="0"/>
            </a:rPr>
            <a:t>Program Alignment</a:t>
          </a:r>
          <a:endParaRPr lang="en-US" sz="1200" b="1" dirty="0">
            <a:solidFill>
              <a:srgbClr val="FFFFFF"/>
            </a:solidFill>
            <a:latin typeface="Arial" panose="020B0604020202020204" pitchFamily="34" charset="0"/>
            <a:cs typeface="Arial" panose="020B0604020202020204" pitchFamily="34" charset="0"/>
          </a:endParaRPr>
        </a:p>
      </dgm:t>
    </dgm:pt>
    <dgm:pt modelId="{EC66FEB8-EE42-3A45-842B-6DA953BBB102}" type="parTrans" cxnId="{86726EE0-E779-CE4D-9A6A-B4F4DC20C121}">
      <dgm:prSet/>
      <dgm:spPr/>
      <dgm:t>
        <a:bodyPr/>
        <a:lstStyle/>
        <a:p>
          <a:endParaRPr lang="en-US"/>
        </a:p>
      </dgm:t>
    </dgm:pt>
    <dgm:pt modelId="{326DCC9F-E962-3044-94F5-40871AE63331}" type="sibTrans" cxnId="{86726EE0-E779-CE4D-9A6A-B4F4DC20C121}">
      <dgm:prSet/>
      <dgm:spPr/>
      <dgm:t>
        <a:bodyPr/>
        <a:lstStyle/>
        <a:p>
          <a:endParaRPr lang="en-US"/>
        </a:p>
      </dgm:t>
    </dgm:pt>
    <dgm:pt modelId="{03F7AEBA-DDD4-3F42-AE73-9D80EF66145C}">
      <dgm:prSet phldrT="[Text]"/>
      <dgm:spPr>
        <a:solidFill>
          <a:schemeClr val="accent1">
            <a:lumMod val="40000"/>
            <a:lumOff val="60000"/>
            <a:alpha val="90000"/>
          </a:schemeClr>
        </a:solidFill>
      </dgm:spPr>
      <dgm:t>
        <a:bodyPr/>
        <a:lstStyle/>
        <a:p>
          <a:r>
            <a:rPr lang="en-US" dirty="0" smtClean="0"/>
            <a:t>Unified strategic planning across core programs</a:t>
          </a:r>
          <a:endParaRPr lang="en-US" dirty="0"/>
        </a:p>
      </dgm:t>
    </dgm:pt>
    <dgm:pt modelId="{C08E508A-1758-8C48-B3FE-3A31DB1C88CB}" type="parTrans" cxnId="{0D4B336D-70C1-304B-B38E-4B0D69F95E17}">
      <dgm:prSet/>
      <dgm:spPr/>
      <dgm:t>
        <a:bodyPr/>
        <a:lstStyle/>
        <a:p>
          <a:endParaRPr lang="en-US"/>
        </a:p>
      </dgm:t>
    </dgm:pt>
    <dgm:pt modelId="{D884A421-6932-6942-97D7-6D0231346978}" type="sibTrans" cxnId="{0D4B336D-70C1-304B-B38E-4B0D69F95E17}">
      <dgm:prSet/>
      <dgm:spPr/>
      <dgm:t>
        <a:bodyPr/>
        <a:lstStyle/>
        <a:p>
          <a:endParaRPr lang="en-US"/>
        </a:p>
      </dgm:t>
    </dgm:pt>
    <dgm:pt modelId="{F6E0C543-81B4-5D4D-BEBB-9EE762927E8F}">
      <dgm:prSet phldrT="[Text]" custT="1"/>
      <dgm:spPr/>
      <dgm:t>
        <a:bodyPr/>
        <a:lstStyle/>
        <a:p>
          <a:r>
            <a:rPr lang="en-US" sz="900" b="1" dirty="0" smtClean="0">
              <a:solidFill>
                <a:srgbClr val="FFFFFF"/>
              </a:solidFill>
              <a:latin typeface="Arial" panose="020B0604020202020204" pitchFamily="34" charset="0"/>
              <a:cs typeface="Arial" panose="020B0604020202020204" pitchFamily="34" charset="0"/>
            </a:rPr>
            <a:t>Increased Accountability</a:t>
          </a:r>
          <a:endParaRPr lang="en-US" sz="900" b="1" dirty="0">
            <a:solidFill>
              <a:srgbClr val="FFFFFF"/>
            </a:solidFill>
            <a:latin typeface="Arial" panose="020B0604020202020204" pitchFamily="34" charset="0"/>
            <a:cs typeface="Arial" panose="020B0604020202020204" pitchFamily="34" charset="0"/>
          </a:endParaRPr>
        </a:p>
      </dgm:t>
    </dgm:pt>
    <dgm:pt modelId="{26AD40A6-9B2B-1741-8083-91CDB8ECD9FB}" type="parTrans" cxnId="{8C7F9E64-F79E-6242-8AE3-126D6D9444E5}">
      <dgm:prSet/>
      <dgm:spPr/>
      <dgm:t>
        <a:bodyPr/>
        <a:lstStyle/>
        <a:p>
          <a:endParaRPr lang="en-US"/>
        </a:p>
      </dgm:t>
    </dgm:pt>
    <dgm:pt modelId="{EB133BA9-E8A9-D945-A4BD-696B2132824A}" type="sibTrans" cxnId="{8C7F9E64-F79E-6242-8AE3-126D6D9444E5}">
      <dgm:prSet/>
      <dgm:spPr/>
      <dgm:t>
        <a:bodyPr/>
        <a:lstStyle/>
        <a:p>
          <a:endParaRPr lang="en-US"/>
        </a:p>
      </dgm:t>
    </dgm:pt>
    <dgm:pt modelId="{23086613-AF27-8B4F-A46D-35B1016F9FA3}">
      <dgm:prSet phldrT="[Text]"/>
      <dgm:spPr>
        <a:solidFill>
          <a:schemeClr val="accent1">
            <a:lumMod val="40000"/>
            <a:lumOff val="60000"/>
            <a:alpha val="90000"/>
          </a:schemeClr>
        </a:solidFill>
      </dgm:spPr>
      <dgm:t>
        <a:bodyPr/>
        <a:lstStyle/>
        <a:p>
          <a:r>
            <a:rPr lang="en-US" dirty="0" smtClean="0"/>
            <a:t>Establishment of common measures across core programs</a:t>
          </a:r>
          <a:endParaRPr lang="en-US" dirty="0"/>
        </a:p>
      </dgm:t>
    </dgm:pt>
    <dgm:pt modelId="{C0F35B90-88A0-EE48-91FA-7AAB85A2978E}" type="parTrans" cxnId="{E0BEEB5B-8949-584A-93D0-0B77C5097F09}">
      <dgm:prSet/>
      <dgm:spPr/>
      <dgm:t>
        <a:bodyPr/>
        <a:lstStyle/>
        <a:p>
          <a:endParaRPr lang="en-US"/>
        </a:p>
      </dgm:t>
    </dgm:pt>
    <dgm:pt modelId="{6EAB15F0-82E1-AF42-BF06-5473966FF979}" type="sibTrans" cxnId="{E0BEEB5B-8949-584A-93D0-0B77C5097F09}">
      <dgm:prSet/>
      <dgm:spPr/>
      <dgm:t>
        <a:bodyPr/>
        <a:lstStyle/>
        <a:p>
          <a:endParaRPr lang="en-US"/>
        </a:p>
      </dgm:t>
    </dgm:pt>
    <dgm:pt modelId="{FC334DF4-13D3-6341-B401-819F92B8F989}">
      <dgm:prSet phldrT="[Text]"/>
      <dgm:spPr>
        <a:solidFill>
          <a:schemeClr val="accent1">
            <a:lumMod val="40000"/>
            <a:lumOff val="60000"/>
            <a:alpha val="90000"/>
          </a:schemeClr>
        </a:solidFill>
      </dgm:spPr>
      <dgm:t>
        <a:bodyPr/>
        <a:lstStyle/>
        <a:p>
          <a:r>
            <a:rPr lang="en-US" dirty="0" smtClean="0"/>
            <a:t>Increases accountability and transparency through reporting and evaluations</a:t>
          </a:r>
          <a:endParaRPr lang="en-US" dirty="0"/>
        </a:p>
      </dgm:t>
    </dgm:pt>
    <dgm:pt modelId="{FD128D20-19F4-7C46-9C81-AA9FC745E24C}" type="parTrans" cxnId="{E6B14E66-9B14-0F41-864A-7EFA927271AE}">
      <dgm:prSet/>
      <dgm:spPr/>
      <dgm:t>
        <a:bodyPr/>
        <a:lstStyle/>
        <a:p>
          <a:endParaRPr lang="en-US"/>
        </a:p>
      </dgm:t>
    </dgm:pt>
    <dgm:pt modelId="{5C89132D-41F9-714C-9836-B179AA7F6DF6}" type="sibTrans" cxnId="{E6B14E66-9B14-0F41-864A-7EFA927271AE}">
      <dgm:prSet/>
      <dgm:spPr/>
      <dgm:t>
        <a:bodyPr/>
        <a:lstStyle/>
        <a:p>
          <a:endParaRPr lang="en-US"/>
        </a:p>
      </dgm:t>
    </dgm:pt>
    <dgm:pt modelId="{0254B957-2F59-BF42-AC90-45055BFB8B4D}">
      <dgm:prSet phldrT="[Text]" custT="1"/>
      <dgm:spPr/>
      <dgm:t>
        <a:bodyPr/>
        <a:lstStyle/>
        <a:p>
          <a:r>
            <a:rPr lang="en-US" sz="1200" b="1" dirty="0" smtClean="0">
              <a:solidFill>
                <a:srgbClr val="FFFFFF"/>
              </a:solidFill>
              <a:latin typeface="Arial" panose="020B0604020202020204" pitchFamily="34" charset="0"/>
              <a:cs typeface="Arial" panose="020B0604020202020204" pitchFamily="34" charset="0"/>
            </a:rPr>
            <a:t>Enhanced Service  Delivery</a:t>
          </a:r>
          <a:endParaRPr lang="en-US" sz="1200" b="1" dirty="0">
            <a:solidFill>
              <a:srgbClr val="FFFFFF"/>
            </a:solidFill>
            <a:latin typeface="Arial" panose="020B0604020202020204" pitchFamily="34" charset="0"/>
            <a:cs typeface="Arial" panose="020B0604020202020204" pitchFamily="34" charset="0"/>
          </a:endParaRPr>
        </a:p>
      </dgm:t>
    </dgm:pt>
    <dgm:pt modelId="{CBD6C02A-2994-7F49-9C92-B71132CEA31C}" type="parTrans" cxnId="{289EED00-259C-464B-945E-A5EA091BF6E0}">
      <dgm:prSet/>
      <dgm:spPr/>
      <dgm:t>
        <a:bodyPr/>
        <a:lstStyle/>
        <a:p>
          <a:endParaRPr lang="en-US"/>
        </a:p>
      </dgm:t>
    </dgm:pt>
    <dgm:pt modelId="{2A29A573-27AB-CA4B-B2B7-278CA2E1F930}" type="sibTrans" cxnId="{289EED00-259C-464B-945E-A5EA091BF6E0}">
      <dgm:prSet/>
      <dgm:spPr/>
      <dgm:t>
        <a:bodyPr/>
        <a:lstStyle/>
        <a:p>
          <a:endParaRPr lang="en-US"/>
        </a:p>
      </dgm:t>
    </dgm:pt>
    <dgm:pt modelId="{776446C5-1D7C-0541-B86E-DB03A930C869}">
      <dgm:prSet phldrT="[Text]"/>
      <dgm:spPr>
        <a:solidFill>
          <a:schemeClr val="accent1">
            <a:lumMod val="40000"/>
            <a:lumOff val="60000"/>
            <a:alpha val="90000"/>
          </a:schemeClr>
        </a:solidFill>
      </dgm:spPr>
      <dgm:t>
        <a:bodyPr/>
        <a:lstStyle/>
        <a:p>
          <a:r>
            <a:rPr lang="en-US" dirty="0" smtClean="0"/>
            <a:t>Promotes engagement of employers and alignment of education and training activities through career pathways</a:t>
          </a:r>
          <a:endParaRPr lang="en-US" dirty="0"/>
        </a:p>
      </dgm:t>
    </dgm:pt>
    <dgm:pt modelId="{A7F6A1FF-DF6D-7341-A201-0544F1963910}" type="parTrans" cxnId="{21521582-B88B-DA41-AE04-7D73A289385B}">
      <dgm:prSet/>
      <dgm:spPr/>
      <dgm:t>
        <a:bodyPr/>
        <a:lstStyle/>
        <a:p>
          <a:endParaRPr lang="en-US"/>
        </a:p>
      </dgm:t>
    </dgm:pt>
    <dgm:pt modelId="{8724853E-7816-594A-A8B8-546573A88F09}" type="sibTrans" cxnId="{21521582-B88B-DA41-AE04-7D73A289385B}">
      <dgm:prSet/>
      <dgm:spPr/>
      <dgm:t>
        <a:bodyPr/>
        <a:lstStyle/>
        <a:p>
          <a:endParaRPr lang="en-US"/>
        </a:p>
      </dgm:t>
    </dgm:pt>
    <dgm:pt modelId="{0DC4A75E-6AA4-5242-8DB5-546D943E1B9E}">
      <dgm:prSet phldrT="[Text]"/>
      <dgm:spPr>
        <a:solidFill>
          <a:schemeClr val="accent1">
            <a:lumMod val="40000"/>
            <a:lumOff val="60000"/>
            <a:alpha val="90000"/>
          </a:schemeClr>
        </a:solidFill>
      </dgm:spPr>
      <dgm:t>
        <a:bodyPr/>
        <a:lstStyle/>
        <a:p>
          <a:r>
            <a:rPr lang="en-US" dirty="0" smtClean="0"/>
            <a:t>Strengthens partnerships and investments in one-stop delivery system</a:t>
          </a:r>
          <a:endParaRPr lang="en-US" dirty="0"/>
        </a:p>
      </dgm:t>
    </dgm:pt>
    <dgm:pt modelId="{5C9F8A60-41AC-EC4F-BA07-426D8EC4B1EE}" type="parTrans" cxnId="{867E64A9-AC7D-E645-A572-959656879B2F}">
      <dgm:prSet/>
      <dgm:spPr/>
      <dgm:t>
        <a:bodyPr/>
        <a:lstStyle/>
        <a:p>
          <a:endParaRPr lang="en-US"/>
        </a:p>
      </dgm:t>
    </dgm:pt>
    <dgm:pt modelId="{2E5CC015-334A-6E4B-BFB7-385AF62C936A}" type="sibTrans" cxnId="{867E64A9-AC7D-E645-A572-959656879B2F}">
      <dgm:prSet/>
      <dgm:spPr/>
      <dgm:t>
        <a:bodyPr/>
        <a:lstStyle/>
        <a:p>
          <a:endParaRPr lang="en-US"/>
        </a:p>
      </dgm:t>
    </dgm:pt>
    <dgm:pt modelId="{64FBB035-1438-1544-8D1C-9D255603AAA0}">
      <dgm:prSet phldrT="[Text]"/>
      <dgm:spPr>
        <a:solidFill>
          <a:schemeClr val="accent1">
            <a:lumMod val="40000"/>
            <a:lumOff val="60000"/>
            <a:alpha val="90000"/>
          </a:schemeClr>
        </a:solidFill>
      </dgm:spPr>
      <dgm:t>
        <a:bodyPr/>
        <a:lstStyle/>
        <a:p>
          <a:r>
            <a:rPr lang="en-US" dirty="0" smtClean="0"/>
            <a:t>Enhances role of State and Local Workforce Development Boards in developing and implementing a Unified State Plan</a:t>
          </a:r>
          <a:endParaRPr lang="en-US" dirty="0"/>
        </a:p>
      </dgm:t>
    </dgm:pt>
    <dgm:pt modelId="{320B0A61-E175-0B4B-B264-404487CB89D7}" type="parTrans" cxnId="{6F8D1C9B-C804-ED4F-A7FD-778784A1B71B}">
      <dgm:prSet/>
      <dgm:spPr/>
      <dgm:t>
        <a:bodyPr/>
        <a:lstStyle/>
        <a:p>
          <a:endParaRPr lang="en-US"/>
        </a:p>
      </dgm:t>
    </dgm:pt>
    <dgm:pt modelId="{421638F5-133A-3C4D-B9EA-54C1C1FA42FC}" type="sibTrans" cxnId="{6F8D1C9B-C804-ED4F-A7FD-778784A1B71B}">
      <dgm:prSet/>
      <dgm:spPr/>
      <dgm:t>
        <a:bodyPr/>
        <a:lstStyle/>
        <a:p>
          <a:endParaRPr lang="en-US"/>
        </a:p>
      </dgm:t>
    </dgm:pt>
    <dgm:pt modelId="{8FF2ACB5-CB92-6D4F-901C-E785085A951A}" type="pres">
      <dgm:prSet presAssocID="{47BFC341-8FEF-FD4A-8634-E69DDAB02785}" presName="linearFlow" presStyleCnt="0">
        <dgm:presLayoutVars>
          <dgm:dir/>
          <dgm:animLvl val="lvl"/>
          <dgm:resizeHandles val="exact"/>
        </dgm:presLayoutVars>
      </dgm:prSet>
      <dgm:spPr/>
      <dgm:t>
        <a:bodyPr/>
        <a:lstStyle/>
        <a:p>
          <a:endParaRPr lang="en-US"/>
        </a:p>
      </dgm:t>
    </dgm:pt>
    <dgm:pt modelId="{A8CE5D24-A8A0-C049-8CFA-942D102F2F22}" type="pres">
      <dgm:prSet presAssocID="{FB6BD065-5440-C743-B99D-705B94DA8C6D}" presName="composite" presStyleCnt="0"/>
      <dgm:spPr/>
      <dgm:t>
        <a:bodyPr/>
        <a:lstStyle/>
        <a:p>
          <a:endParaRPr lang="en-US"/>
        </a:p>
      </dgm:t>
    </dgm:pt>
    <dgm:pt modelId="{34E52D38-D586-AC4D-90D6-A60F48B347EA}" type="pres">
      <dgm:prSet presAssocID="{FB6BD065-5440-C743-B99D-705B94DA8C6D}" presName="parentText" presStyleLbl="alignNode1" presStyleIdx="0" presStyleCnt="3">
        <dgm:presLayoutVars>
          <dgm:chMax val="1"/>
          <dgm:bulletEnabled val="1"/>
        </dgm:presLayoutVars>
      </dgm:prSet>
      <dgm:spPr>
        <a:prstGeom prst="flowChartAlternateProcess">
          <a:avLst/>
        </a:prstGeom>
      </dgm:spPr>
      <dgm:t>
        <a:bodyPr/>
        <a:lstStyle/>
        <a:p>
          <a:endParaRPr lang="en-US"/>
        </a:p>
      </dgm:t>
    </dgm:pt>
    <dgm:pt modelId="{76B5C00B-5213-714D-99A3-B2EEE14C847C}" type="pres">
      <dgm:prSet presAssocID="{FB6BD065-5440-C743-B99D-705B94DA8C6D}" presName="descendantText" presStyleLbl="alignAcc1" presStyleIdx="0" presStyleCnt="3" custLinFactNeighborY="13724">
        <dgm:presLayoutVars>
          <dgm:bulletEnabled val="1"/>
        </dgm:presLayoutVars>
      </dgm:prSet>
      <dgm:spPr/>
      <dgm:t>
        <a:bodyPr/>
        <a:lstStyle/>
        <a:p>
          <a:endParaRPr lang="en-US"/>
        </a:p>
      </dgm:t>
    </dgm:pt>
    <dgm:pt modelId="{CCD53282-650A-CC45-9ACA-3A59A48756CD}" type="pres">
      <dgm:prSet presAssocID="{326DCC9F-E962-3044-94F5-40871AE63331}" presName="sp" presStyleCnt="0"/>
      <dgm:spPr/>
      <dgm:t>
        <a:bodyPr/>
        <a:lstStyle/>
        <a:p>
          <a:endParaRPr lang="en-US"/>
        </a:p>
      </dgm:t>
    </dgm:pt>
    <dgm:pt modelId="{F8EECBA6-F136-A340-B1F1-187E44A9B048}" type="pres">
      <dgm:prSet presAssocID="{F6E0C543-81B4-5D4D-BEBB-9EE762927E8F}" presName="composite" presStyleCnt="0"/>
      <dgm:spPr/>
      <dgm:t>
        <a:bodyPr/>
        <a:lstStyle/>
        <a:p>
          <a:endParaRPr lang="en-US"/>
        </a:p>
      </dgm:t>
    </dgm:pt>
    <dgm:pt modelId="{681B7540-570C-C345-89A2-BF60501E8F65}" type="pres">
      <dgm:prSet presAssocID="{F6E0C543-81B4-5D4D-BEBB-9EE762927E8F}" presName="parentText" presStyleLbl="alignNode1" presStyleIdx="1" presStyleCnt="3">
        <dgm:presLayoutVars>
          <dgm:chMax val="1"/>
          <dgm:bulletEnabled val="1"/>
        </dgm:presLayoutVars>
      </dgm:prSet>
      <dgm:spPr>
        <a:prstGeom prst="flowChartAlternateProcess">
          <a:avLst/>
        </a:prstGeom>
      </dgm:spPr>
      <dgm:t>
        <a:bodyPr/>
        <a:lstStyle/>
        <a:p>
          <a:endParaRPr lang="en-US"/>
        </a:p>
      </dgm:t>
    </dgm:pt>
    <dgm:pt modelId="{1934CD92-B328-5B44-ACA8-2AE8646BA411}" type="pres">
      <dgm:prSet presAssocID="{F6E0C543-81B4-5D4D-BEBB-9EE762927E8F}" presName="descendantText" presStyleLbl="alignAcc1" presStyleIdx="1" presStyleCnt="3" custLinFactNeighborY="13711">
        <dgm:presLayoutVars>
          <dgm:bulletEnabled val="1"/>
        </dgm:presLayoutVars>
      </dgm:prSet>
      <dgm:spPr/>
      <dgm:t>
        <a:bodyPr/>
        <a:lstStyle/>
        <a:p>
          <a:endParaRPr lang="en-US"/>
        </a:p>
      </dgm:t>
    </dgm:pt>
    <dgm:pt modelId="{D253EAA2-3AA9-D24E-A323-1089B61911DC}" type="pres">
      <dgm:prSet presAssocID="{EB133BA9-E8A9-D945-A4BD-696B2132824A}" presName="sp" presStyleCnt="0"/>
      <dgm:spPr/>
      <dgm:t>
        <a:bodyPr/>
        <a:lstStyle/>
        <a:p>
          <a:endParaRPr lang="en-US"/>
        </a:p>
      </dgm:t>
    </dgm:pt>
    <dgm:pt modelId="{EED4477B-7677-BC4D-A6D6-A94B185F1E00}" type="pres">
      <dgm:prSet presAssocID="{0254B957-2F59-BF42-AC90-45055BFB8B4D}" presName="composite" presStyleCnt="0"/>
      <dgm:spPr/>
      <dgm:t>
        <a:bodyPr/>
        <a:lstStyle/>
        <a:p>
          <a:endParaRPr lang="en-US"/>
        </a:p>
      </dgm:t>
    </dgm:pt>
    <dgm:pt modelId="{DC46A14A-DA75-CE48-AF6C-E3B6C14ADB77}" type="pres">
      <dgm:prSet presAssocID="{0254B957-2F59-BF42-AC90-45055BFB8B4D}" presName="parentText" presStyleLbl="alignNode1" presStyleIdx="2" presStyleCnt="3">
        <dgm:presLayoutVars>
          <dgm:chMax val="1"/>
          <dgm:bulletEnabled val="1"/>
        </dgm:presLayoutVars>
      </dgm:prSet>
      <dgm:spPr>
        <a:prstGeom prst="flowChartAlternateProcess">
          <a:avLst/>
        </a:prstGeom>
      </dgm:spPr>
      <dgm:t>
        <a:bodyPr/>
        <a:lstStyle/>
        <a:p>
          <a:endParaRPr lang="en-US"/>
        </a:p>
      </dgm:t>
    </dgm:pt>
    <dgm:pt modelId="{C7429C0C-7B74-374F-95B6-E22AE5969F60}" type="pres">
      <dgm:prSet presAssocID="{0254B957-2F59-BF42-AC90-45055BFB8B4D}" presName="descendantText" presStyleLbl="alignAcc1" presStyleIdx="2" presStyleCnt="3" custLinFactNeighborY="14837">
        <dgm:presLayoutVars>
          <dgm:bulletEnabled val="1"/>
        </dgm:presLayoutVars>
      </dgm:prSet>
      <dgm:spPr/>
      <dgm:t>
        <a:bodyPr/>
        <a:lstStyle/>
        <a:p>
          <a:endParaRPr lang="en-US"/>
        </a:p>
      </dgm:t>
    </dgm:pt>
  </dgm:ptLst>
  <dgm:cxnLst>
    <dgm:cxn modelId="{649FF6E5-851D-407B-A77D-7E0CF8E2B00D}" type="presOf" srcId="{F6E0C543-81B4-5D4D-BEBB-9EE762927E8F}" destId="{681B7540-570C-C345-89A2-BF60501E8F65}" srcOrd="0" destOrd="0" presId="urn:microsoft.com/office/officeart/2005/8/layout/chevron2"/>
    <dgm:cxn modelId="{867E64A9-AC7D-E645-A572-959656879B2F}" srcId="{0254B957-2F59-BF42-AC90-45055BFB8B4D}" destId="{0DC4A75E-6AA4-5242-8DB5-546D943E1B9E}" srcOrd="1" destOrd="0" parTransId="{5C9F8A60-41AC-EC4F-BA07-426D8EC4B1EE}" sibTransId="{2E5CC015-334A-6E4B-BFB7-385AF62C936A}"/>
    <dgm:cxn modelId="{46B5A456-4A26-4B15-BDB6-0422F5BA9D28}" type="presOf" srcId="{03F7AEBA-DDD4-3F42-AE73-9D80EF66145C}" destId="{76B5C00B-5213-714D-99A3-B2EEE14C847C}" srcOrd="0" destOrd="0" presId="urn:microsoft.com/office/officeart/2005/8/layout/chevron2"/>
    <dgm:cxn modelId="{E0BEEB5B-8949-584A-93D0-0B77C5097F09}" srcId="{F6E0C543-81B4-5D4D-BEBB-9EE762927E8F}" destId="{23086613-AF27-8B4F-A46D-35B1016F9FA3}" srcOrd="0" destOrd="0" parTransId="{C0F35B90-88A0-EE48-91FA-7AAB85A2978E}" sibTransId="{6EAB15F0-82E1-AF42-BF06-5473966FF979}"/>
    <dgm:cxn modelId="{289EED00-259C-464B-945E-A5EA091BF6E0}" srcId="{47BFC341-8FEF-FD4A-8634-E69DDAB02785}" destId="{0254B957-2F59-BF42-AC90-45055BFB8B4D}" srcOrd="2" destOrd="0" parTransId="{CBD6C02A-2994-7F49-9C92-B71132CEA31C}" sibTransId="{2A29A573-27AB-CA4B-B2B7-278CA2E1F930}"/>
    <dgm:cxn modelId="{1B23C431-1238-4E4C-9626-5265A73A7DFB}" type="presOf" srcId="{0DC4A75E-6AA4-5242-8DB5-546D943E1B9E}" destId="{C7429C0C-7B74-374F-95B6-E22AE5969F60}" srcOrd="0" destOrd="1" presId="urn:microsoft.com/office/officeart/2005/8/layout/chevron2"/>
    <dgm:cxn modelId="{A559C525-55F4-48B7-B78F-C8760FD37267}" type="presOf" srcId="{0254B957-2F59-BF42-AC90-45055BFB8B4D}" destId="{DC46A14A-DA75-CE48-AF6C-E3B6C14ADB77}" srcOrd="0" destOrd="0" presId="urn:microsoft.com/office/officeart/2005/8/layout/chevron2"/>
    <dgm:cxn modelId="{E6B14E66-9B14-0F41-864A-7EFA927271AE}" srcId="{F6E0C543-81B4-5D4D-BEBB-9EE762927E8F}" destId="{FC334DF4-13D3-6341-B401-819F92B8F989}" srcOrd="1" destOrd="0" parTransId="{FD128D20-19F4-7C46-9C81-AA9FC745E24C}" sibTransId="{5C89132D-41F9-714C-9836-B179AA7F6DF6}"/>
    <dgm:cxn modelId="{A0A3EF33-561B-4F02-A4B5-DBF287BF718B}" type="presOf" srcId="{64FBB035-1438-1544-8D1C-9D255603AAA0}" destId="{76B5C00B-5213-714D-99A3-B2EEE14C847C}" srcOrd="0" destOrd="1" presId="urn:microsoft.com/office/officeart/2005/8/layout/chevron2"/>
    <dgm:cxn modelId="{6AB9812A-C176-42E0-8E46-4056167DF202}" type="presOf" srcId="{23086613-AF27-8B4F-A46D-35B1016F9FA3}" destId="{1934CD92-B328-5B44-ACA8-2AE8646BA411}" srcOrd="0" destOrd="0" presId="urn:microsoft.com/office/officeart/2005/8/layout/chevron2"/>
    <dgm:cxn modelId="{21521582-B88B-DA41-AE04-7D73A289385B}" srcId="{0254B957-2F59-BF42-AC90-45055BFB8B4D}" destId="{776446C5-1D7C-0541-B86E-DB03A930C869}" srcOrd="0" destOrd="0" parTransId="{A7F6A1FF-DF6D-7341-A201-0544F1963910}" sibTransId="{8724853E-7816-594A-A8B8-546573A88F09}"/>
    <dgm:cxn modelId="{0D4B336D-70C1-304B-B38E-4B0D69F95E17}" srcId="{FB6BD065-5440-C743-B99D-705B94DA8C6D}" destId="{03F7AEBA-DDD4-3F42-AE73-9D80EF66145C}" srcOrd="0" destOrd="0" parTransId="{C08E508A-1758-8C48-B3FE-3A31DB1C88CB}" sibTransId="{D884A421-6932-6942-97D7-6D0231346978}"/>
    <dgm:cxn modelId="{BBD52466-4CCA-4975-80F6-EEADC647ED72}" type="presOf" srcId="{FC334DF4-13D3-6341-B401-819F92B8F989}" destId="{1934CD92-B328-5B44-ACA8-2AE8646BA411}" srcOrd="0" destOrd="1" presId="urn:microsoft.com/office/officeart/2005/8/layout/chevron2"/>
    <dgm:cxn modelId="{8C7F9E64-F79E-6242-8AE3-126D6D9444E5}" srcId="{47BFC341-8FEF-FD4A-8634-E69DDAB02785}" destId="{F6E0C543-81B4-5D4D-BEBB-9EE762927E8F}" srcOrd="1" destOrd="0" parTransId="{26AD40A6-9B2B-1741-8083-91CDB8ECD9FB}" sibTransId="{EB133BA9-E8A9-D945-A4BD-696B2132824A}"/>
    <dgm:cxn modelId="{86726EE0-E779-CE4D-9A6A-B4F4DC20C121}" srcId="{47BFC341-8FEF-FD4A-8634-E69DDAB02785}" destId="{FB6BD065-5440-C743-B99D-705B94DA8C6D}" srcOrd="0" destOrd="0" parTransId="{EC66FEB8-EE42-3A45-842B-6DA953BBB102}" sibTransId="{326DCC9F-E962-3044-94F5-40871AE63331}"/>
    <dgm:cxn modelId="{6F8D1C9B-C804-ED4F-A7FD-778784A1B71B}" srcId="{FB6BD065-5440-C743-B99D-705B94DA8C6D}" destId="{64FBB035-1438-1544-8D1C-9D255603AAA0}" srcOrd="1" destOrd="0" parTransId="{320B0A61-E175-0B4B-B264-404487CB89D7}" sibTransId="{421638F5-133A-3C4D-B9EA-54C1C1FA42FC}"/>
    <dgm:cxn modelId="{E7F64257-7768-496E-9595-43704AC3E56F}" type="presOf" srcId="{FB6BD065-5440-C743-B99D-705B94DA8C6D}" destId="{34E52D38-D586-AC4D-90D6-A60F48B347EA}" srcOrd="0" destOrd="0" presId="urn:microsoft.com/office/officeart/2005/8/layout/chevron2"/>
    <dgm:cxn modelId="{CEC85C25-DD7C-4A87-9D79-B88D5D8218BC}" type="presOf" srcId="{47BFC341-8FEF-FD4A-8634-E69DDAB02785}" destId="{8FF2ACB5-CB92-6D4F-901C-E785085A951A}" srcOrd="0" destOrd="0" presId="urn:microsoft.com/office/officeart/2005/8/layout/chevron2"/>
    <dgm:cxn modelId="{D88948C9-C74E-498B-AC4A-0CC6F120DBC4}" type="presOf" srcId="{776446C5-1D7C-0541-B86E-DB03A930C869}" destId="{C7429C0C-7B74-374F-95B6-E22AE5969F60}" srcOrd="0" destOrd="0" presId="urn:microsoft.com/office/officeart/2005/8/layout/chevron2"/>
    <dgm:cxn modelId="{408ED67F-F94F-430A-93D6-8557824FBC71}" type="presParOf" srcId="{8FF2ACB5-CB92-6D4F-901C-E785085A951A}" destId="{A8CE5D24-A8A0-C049-8CFA-942D102F2F22}" srcOrd="0" destOrd="0" presId="urn:microsoft.com/office/officeart/2005/8/layout/chevron2"/>
    <dgm:cxn modelId="{CA8F00B9-E240-4B57-9A4A-68C01D197D0B}" type="presParOf" srcId="{A8CE5D24-A8A0-C049-8CFA-942D102F2F22}" destId="{34E52D38-D586-AC4D-90D6-A60F48B347EA}" srcOrd="0" destOrd="0" presId="urn:microsoft.com/office/officeart/2005/8/layout/chevron2"/>
    <dgm:cxn modelId="{BED63968-0E84-4865-BDCD-1320C5B8B67B}" type="presParOf" srcId="{A8CE5D24-A8A0-C049-8CFA-942D102F2F22}" destId="{76B5C00B-5213-714D-99A3-B2EEE14C847C}" srcOrd="1" destOrd="0" presId="urn:microsoft.com/office/officeart/2005/8/layout/chevron2"/>
    <dgm:cxn modelId="{866F3D31-5C3E-4BE0-9A7C-A6919FEF3AED}" type="presParOf" srcId="{8FF2ACB5-CB92-6D4F-901C-E785085A951A}" destId="{CCD53282-650A-CC45-9ACA-3A59A48756CD}" srcOrd="1" destOrd="0" presId="urn:microsoft.com/office/officeart/2005/8/layout/chevron2"/>
    <dgm:cxn modelId="{00940C1C-4BD5-4E94-8E94-B93CA2F83F25}" type="presParOf" srcId="{8FF2ACB5-CB92-6D4F-901C-E785085A951A}" destId="{F8EECBA6-F136-A340-B1F1-187E44A9B048}" srcOrd="2" destOrd="0" presId="urn:microsoft.com/office/officeart/2005/8/layout/chevron2"/>
    <dgm:cxn modelId="{0E61D9F0-F8E0-4E55-9D14-C05F7D63837F}" type="presParOf" srcId="{F8EECBA6-F136-A340-B1F1-187E44A9B048}" destId="{681B7540-570C-C345-89A2-BF60501E8F65}" srcOrd="0" destOrd="0" presId="urn:microsoft.com/office/officeart/2005/8/layout/chevron2"/>
    <dgm:cxn modelId="{DBD1CF2F-D58D-4CA2-B49A-9248840DB3AF}" type="presParOf" srcId="{F8EECBA6-F136-A340-B1F1-187E44A9B048}" destId="{1934CD92-B328-5B44-ACA8-2AE8646BA411}" srcOrd="1" destOrd="0" presId="urn:microsoft.com/office/officeart/2005/8/layout/chevron2"/>
    <dgm:cxn modelId="{1341DBEE-343B-44F0-AD93-BE3BE9A439D0}" type="presParOf" srcId="{8FF2ACB5-CB92-6D4F-901C-E785085A951A}" destId="{D253EAA2-3AA9-D24E-A323-1089B61911DC}" srcOrd="3" destOrd="0" presId="urn:microsoft.com/office/officeart/2005/8/layout/chevron2"/>
    <dgm:cxn modelId="{D2CB3D9F-1719-40D2-B601-3EACE6A13011}" type="presParOf" srcId="{8FF2ACB5-CB92-6D4F-901C-E785085A951A}" destId="{EED4477B-7677-BC4D-A6D6-A94B185F1E00}" srcOrd="4" destOrd="0" presId="urn:microsoft.com/office/officeart/2005/8/layout/chevron2"/>
    <dgm:cxn modelId="{CF55EDAF-A834-4A3A-8769-69C58AD44C7E}" type="presParOf" srcId="{EED4477B-7677-BC4D-A6D6-A94B185F1E00}" destId="{DC46A14A-DA75-CE48-AF6C-E3B6C14ADB77}" srcOrd="0" destOrd="0" presId="urn:microsoft.com/office/officeart/2005/8/layout/chevron2"/>
    <dgm:cxn modelId="{7C72E8E0-9437-4BDB-AE4C-0EBFD29C6C83}" type="presParOf" srcId="{EED4477B-7677-BC4D-A6D6-A94B185F1E00}" destId="{C7429C0C-7B74-374F-95B6-E22AE5969F6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E1A586-9E94-8D4D-8DB6-5107EB2D3C5E}" type="doc">
      <dgm:prSet loTypeId="urn:microsoft.com/office/officeart/2008/layout/LinedList" loCatId="" qsTypeId="urn:microsoft.com/office/officeart/2005/8/quickstyle/simple4" qsCatId="simple" csTypeId="urn:microsoft.com/office/officeart/2005/8/colors/accent1_2" csCatId="accent1" phldr="1"/>
      <dgm:spPr/>
      <dgm:t>
        <a:bodyPr/>
        <a:lstStyle/>
        <a:p>
          <a:endParaRPr lang="en-US"/>
        </a:p>
      </dgm:t>
    </dgm:pt>
    <dgm:pt modelId="{C1C72F7C-1AF9-B04A-88B5-8060F0DF3BBE}">
      <dgm:prSet phldrT="[Text]"/>
      <dgm:spPr/>
      <dgm:t>
        <a:bodyPr/>
        <a:lstStyle/>
        <a:p>
          <a:r>
            <a:rPr lang="en-US" b="1" dirty="0" smtClean="0">
              <a:solidFill>
                <a:schemeClr val="accent1">
                  <a:lumMod val="50000"/>
                </a:schemeClr>
              </a:solidFill>
            </a:rPr>
            <a:t>AEFLA Plan Elements</a:t>
          </a:r>
          <a:endParaRPr lang="en-US" b="1" dirty="0">
            <a:solidFill>
              <a:schemeClr val="accent1">
                <a:lumMod val="50000"/>
              </a:schemeClr>
            </a:solidFill>
          </a:endParaRPr>
        </a:p>
      </dgm:t>
    </dgm:pt>
    <dgm:pt modelId="{3B1B6CCE-20CA-9749-B7C5-4CB672E6BEE4}" type="parTrans" cxnId="{A4AE586C-CB7A-9745-9374-77C383CE36F8}">
      <dgm:prSet/>
      <dgm:spPr/>
      <dgm:t>
        <a:bodyPr/>
        <a:lstStyle/>
        <a:p>
          <a:endParaRPr lang="en-US">
            <a:solidFill>
              <a:schemeClr val="accent1">
                <a:lumMod val="50000"/>
              </a:schemeClr>
            </a:solidFill>
          </a:endParaRPr>
        </a:p>
      </dgm:t>
    </dgm:pt>
    <dgm:pt modelId="{1E52F5D9-5566-4D41-AC7F-B64DEA28CA82}" type="sibTrans" cxnId="{A4AE586C-CB7A-9745-9374-77C383CE36F8}">
      <dgm:prSet/>
      <dgm:spPr/>
      <dgm:t>
        <a:bodyPr/>
        <a:lstStyle/>
        <a:p>
          <a:endParaRPr lang="en-US">
            <a:solidFill>
              <a:schemeClr val="accent1">
                <a:lumMod val="50000"/>
              </a:schemeClr>
            </a:solidFill>
          </a:endParaRPr>
        </a:p>
      </dgm:t>
    </dgm:pt>
    <dgm:pt modelId="{F7A851A7-C1D4-3148-AB46-D9D509CF5A53}">
      <dgm:prSet phldrT="[Text]"/>
      <dgm:spPr/>
      <dgm:t>
        <a:bodyPr/>
        <a:lstStyle/>
        <a:p>
          <a:r>
            <a:rPr lang="en-US" dirty="0" smtClean="0">
              <a:solidFill>
                <a:schemeClr val="accent1">
                  <a:lumMod val="50000"/>
                </a:schemeClr>
              </a:solidFill>
            </a:rPr>
            <a:t>Alignment of adult education content standards with ESEA State academic standards</a:t>
          </a:r>
          <a:endParaRPr lang="en-US" dirty="0">
            <a:solidFill>
              <a:schemeClr val="accent1">
                <a:lumMod val="50000"/>
              </a:schemeClr>
            </a:solidFill>
          </a:endParaRPr>
        </a:p>
      </dgm:t>
    </dgm:pt>
    <dgm:pt modelId="{18FA45E2-8F78-FD47-8060-D3E9A9806C95}" type="parTrans" cxnId="{DAABAE5B-63E1-C84E-989D-A1EB1A6B0C11}">
      <dgm:prSet/>
      <dgm:spPr/>
      <dgm:t>
        <a:bodyPr/>
        <a:lstStyle/>
        <a:p>
          <a:endParaRPr lang="en-US">
            <a:solidFill>
              <a:schemeClr val="accent1">
                <a:lumMod val="50000"/>
              </a:schemeClr>
            </a:solidFill>
          </a:endParaRPr>
        </a:p>
      </dgm:t>
    </dgm:pt>
    <dgm:pt modelId="{F3CB97E6-5871-3F47-B749-76B3BE65D29A}" type="sibTrans" cxnId="{DAABAE5B-63E1-C84E-989D-A1EB1A6B0C11}">
      <dgm:prSet/>
      <dgm:spPr/>
      <dgm:t>
        <a:bodyPr/>
        <a:lstStyle/>
        <a:p>
          <a:endParaRPr lang="en-US">
            <a:solidFill>
              <a:schemeClr val="accent1">
                <a:lumMod val="50000"/>
              </a:schemeClr>
            </a:solidFill>
          </a:endParaRPr>
        </a:p>
      </dgm:t>
    </dgm:pt>
    <dgm:pt modelId="{B91805F5-B754-EB4D-9623-FFCADECB5042}">
      <dgm:prSet phldrT="[Text]"/>
      <dgm:spPr/>
      <dgm:t>
        <a:bodyPr/>
        <a:lstStyle/>
        <a:p>
          <a:r>
            <a:rPr lang="en-US" dirty="0" smtClean="0">
              <a:solidFill>
                <a:schemeClr val="accent1">
                  <a:lumMod val="50000"/>
                </a:schemeClr>
              </a:solidFill>
            </a:rPr>
            <a:t>Funding of local activities using 13 considerations under AEFLA</a:t>
          </a:r>
          <a:endParaRPr lang="en-US" dirty="0">
            <a:solidFill>
              <a:schemeClr val="accent1">
                <a:lumMod val="50000"/>
              </a:schemeClr>
            </a:solidFill>
          </a:endParaRPr>
        </a:p>
      </dgm:t>
    </dgm:pt>
    <dgm:pt modelId="{9A7801FC-A82B-C042-8BBF-5AF1F41D87F1}" type="parTrans" cxnId="{2BF354F5-3537-E743-83FB-18E6CD89A4B3}">
      <dgm:prSet/>
      <dgm:spPr/>
      <dgm:t>
        <a:bodyPr/>
        <a:lstStyle/>
        <a:p>
          <a:endParaRPr lang="en-US">
            <a:solidFill>
              <a:schemeClr val="accent1">
                <a:lumMod val="50000"/>
              </a:schemeClr>
            </a:solidFill>
          </a:endParaRPr>
        </a:p>
      </dgm:t>
    </dgm:pt>
    <dgm:pt modelId="{FC79C615-5DF2-D047-A635-40F69DEF7B72}" type="sibTrans" cxnId="{2BF354F5-3537-E743-83FB-18E6CD89A4B3}">
      <dgm:prSet/>
      <dgm:spPr/>
      <dgm:t>
        <a:bodyPr/>
        <a:lstStyle/>
        <a:p>
          <a:endParaRPr lang="en-US">
            <a:solidFill>
              <a:schemeClr val="accent1">
                <a:lumMod val="50000"/>
              </a:schemeClr>
            </a:solidFill>
          </a:endParaRPr>
        </a:p>
      </dgm:t>
    </dgm:pt>
    <dgm:pt modelId="{9077BE63-D729-C04E-97BE-E9101A7A5C8E}">
      <dgm:prSet phldrT="[Text]"/>
      <dgm:spPr/>
      <dgm:t>
        <a:bodyPr/>
        <a:lstStyle/>
        <a:p>
          <a:r>
            <a:rPr lang="en-US" dirty="0" smtClean="0">
              <a:solidFill>
                <a:schemeClr val="accent1">
                  <a:lumMod val="50000"/>
                </a:schemeClr>
              </a:solidFill>
            </a:rPr>
            <a:t>Use of funds for adult education and literacy activities</a:t>
          </a:r>
          <a:endParaRPr lang="en-US" dirty="0">
            <a:solidFill>
              <a:schemeClr val="accent1">
                <a:lumMod val="50000"/>
              </a:schemeClr>
            </a:solidFill>
          </a:endParaRPr>
        </a:p>
      </dgm:t>
    </dgm:pt>
    <dgm:pt modelId="{D443E248-46FF-3F47-8875-52185E0EB1E1}" type="parTrans" cxnId="{2729C85A-5DF3-164B-B4B8-2B914C2FC7BC}">
      <dgm:prSet/>
      <dgm:spPr/>
      <dgm:t>
        <a:bodyPr/>
        <a:lstStyle/>
        <a:p>
          <a:endParaRPr lang="en-US">
            <a:solidFill>
              <a:schemeClr val="accent1">
                <a:lumMod val="50000"/>
              </a:schemeClr>
            </a:solidFill>
          </a:endParaRPr>
        </a:p>
      </dgm:t>
    </dgm:pt>
    <dgm:pt modelId="{7B9E2270-F2B8-A34F-9C7B-7D164EA7CDB0}" type="sibTrans" cxnId="{2729C85A-5DF3-164B-B4B8-2B914C2FC7BC}">
      <dgm:prSet/>
      <dgm:spPr/>
      <dgm:t>
        <a:bodyPr/>
        <a:lstStyle/>
        <a:p>
          <a:endParaRPr lang="en-US">
            <a:solidFill>
              <a:schemeClr val="accent1">
                <a:lumMod val="50000"/>
              </a:schemeClr>
            </a:solidFill>
          </a:endParaRPr>
        </a:p>
      </dgm:t>
    </dgm:pt>
    <dgm:pt modelId="{BD76FBD3-DBEC-BD47-932D-28A061EE9AC9}">
      <dgm:prSet phldrT="[Text]"/>
      <dgm:spPr/>
      <dgm:t>
        <a:bodyPr/>
        <a:lstStyle/>
        <a:p>
          <a:r>
            <a:rPr lang="en-US" dirty="0" smtClean="0">
              <a:solidFill>
                <a:schemeClr val="accent1">
                  <a:lumMod val="50000"/>
                </a:schemeClr>
              </a:solidFill>
            </a:rPr>
            <a:t>Assess and improve quality of adult education providers</a:t>
          </a:r>
          <a:endParaRPr lang="en-US" dirty="0">
            <a:solidFill>
              <a:schemeClr val="accent1">
                <a:lumMod val="50000"/>
              </a:schemeClr>
            </a:solidFill>
          </a:endParaRPr>
        </a:p>
      </dgm:t>
    </dgm:pt>
    <dgm:pt modelId="{5E41B93D-5545-AA4C-936B-D303F2D29086}" type="parTrans" cxnId="{84117E01-7FCF-5148-AF30-5EA31594F024}">
      <dgm:prSet/>
      <dgm:spPr/>
      <dgm:t>
        <a:bodyPr/>
        <a:lstStyle/>
        <a:p>
          <a:endParaRPr lang="en-US">
            <a:solidFill>
              <a:schemeClr val="accent1">
                <a:lumMod val="50000"/>
              </a:schemeClr>
            </a:solidFill>
          </a:endParaRPr>
        </a:p>
      </dgm:t>
    </dgm:pt>
    <dgm:pt modelId="{1B5E9BC0-9203-D74A-A32C-BD651885D96D}" type="sibTrans" cxnId="{84117E01-7FCF-5148-AF30-5EA31594F024}">
      <dgm:prSet/>
      <dgm:spPr/>
      <dgm:t>
        <a:bodyPr/>
        <a:lstStyle/>
        <a:p>
          <a:endParaRPr lang="en-US">
            <a:solidFill>
              <a:schemeClr val="accent1">
                <a:lumMod val="50000"/>
              </a:schemeClr>
            </a:solidFill>
          </a:endParaRPr>
        </a:p>
      </dgm:t>
    </dgm:pt>
    <dgm:pt modelId="{4C5F44D2-75A0-5D4F-A4AC-EC15DC58D577}" type="pres">
      <dgm:prSet presAssocID="{DBE1A586-9E94-8D4D-8DB6-5107EB2D3C5E}" presName="vert0" presStyleCnt="0">
        <dgm:presLayoutVars>
          <dgm:dir/>
          <dgm:animOne val="branch"/>
          <dgm:animLvl val="lvl"/>
        </dgm:presLayoutVars>
      </dgm:prSet>
      <dgm:spPr/>
      <dgm:t>
        <a:bodyPr/>
        <a:lstStyle/>
        <a:p>
          <a:endParaRPr lang="en-US"/>
        </a:p>
      </dgm:t>
    </dgm:pt>
    <dgm:pt modelId="{31E01D41-40F2-8E41-A315-63F2363F8E55}" type="pres">
      <dgm:prSet presAssocID="{C1C72F7C-1AF9-B04A-88B5-8060F0DF3BBE}" presName="thickLine" presStyleLbl="alignNode1" presStyleIdx="0" presStyleCnt="1"/>
      <dgm:spPr/>
    </dgm:pt>
    <dgm:pt modelId="{54F44C9F-6360-7B48-8FA7-74E0BCADF2B1}" type="pres">
      <dgm:prSet presAssocID="{C1C72F7C-1AF9-B04A-88B5-8060F0DF3BBE}" presName="horz1" presStyleCnt="0"/>
      <dgm:spPr/>
    </dgm:pt>
    <dgm:pt modelId="{E9770A43-564B-7D44-9208-C00FF75F99B6}" type="pres">
      <dgm:prSet presAssocID="{C1C72F7C-1AF9-B04A-88B5-8060F0DF3BBE}" presName="tx1" presStyleLbl="revTx" presStyleIdx="0" presStyleCnt="5"/>
      <dgm:spPr/>
      <dgm:t>
        <a:bodyPr/>
        <a:lstStyle/>
        <a:p>
          <a:endParaRPr lang="en-US"/>
        </a:p>
      </dgm:t>
    </dgm:pt>
    <dgm:pt modelId="{F20AC442-DC31-274E-81B9-685BEC51BB65}" type="pres">
      <dgm:prSet presAssocID="{C1C72F7C-1AF9-B04A-88B5-8060F0DF3BBE}" presName="vert1" presStyleCnt="0"/>
      <dgm:spPr/>
    </dgm:pt>
    <dgm:pt modelId="{D0285185-9090-534D-8E1A-A8F95F7449E1}" type="pres">
      <dgm:prSet presAssocID="{F7A851A7-C1D4-3148-AB46-D9D509CF5A53}" presName="vertSpace2a" presStyleCnt="0"/>
      <dgm:spPr/>
    </dgm:pt>
    <dgm:pt modelId="{03202554-590A-2C4D-BF5C-A5DC65DD9597}" type="pres">
      <dgm:prSet presAssocID="{F7A851A7-C1D4-3148-AB46-D9D509CF5A53}" presName="horz2" presStyleCnt="0"/>
      <dgm:spPr/>
    </dgm:pt>
    <dgm:pt modelId="{49EBF067-CA3F-5641-9699-93E7B67B8E1B}" type="pres">
      <dgm:prSet presAssocID="{F7A851A7-C1D4-3148-AB46-D9D509CF5A53}" presName="horzSpace2" presStyleCnt="0"/>
      <dgm:spPr/>
    </dgm:pt>
    <dgm:pt modelId="{F7CB4ACD-82FF-5047-A3DF-55C0018E0512}" type="pres">
      <dgm:prSet presAssocID="{F7A851A7-C1D4-3148-AB46-D9D509CF5A53}" presName="tx2" presStyleLbl="revTx" presStyleIdx="1" presStyleCnt="5"/>
      <dgm:spPr/>
      <dgm:t>
        <a:bodyPr/>
        <a:lstStyle/>
        <a:p>
          <a:endParaRPr lang="en-US"/>
        </a:p>
      </dgm:t>
    </dgm:pt>
    <dgm:pt modelId="{10F15FE9-923C-514F-8F5A-A67A66263912}" type="pres">
      <dgm:prSet presAssocID="{F7A851A7-C1D4-3148-AB46-D9D509CF5A53}" presName="vert2" presStyleCnt="0"/>
      <dgm:spPr/>
    </dgm:pt>
    <dgm:pt modelId="{38304038-21E5-CC43-A02B-A75BAC644469}" type="pres">
      <dgm:prSet presAssocID="{F7A851A7-C1D4-3148-AB46-D9D509CF5A53}" presName="thinLine2b" presStyleLbl="callout" presStyleIdx="0" presStyleCnt="4"/>
      <dgm:spPr/>
    </dgm:pt>
    <dgm:pt modelId="{6B34FC69-14F2-3A49-BB8F-BC8AE98375CD}" type="pres">
      <dgm:prSet presAssocID="{F7A851A7-C1D4-3148-AB46-D9D509CF5A53}" presName="vertSpace2b" presStyleCnt="0"/>
      <dgm:spPr/>
    </dgm:pt>
    <dgm:pt modelId="{C1E95F07-EDEF-BD4D-ABDF-E33653B56217}" type="pres">
      <dgm:prSet presAssocID="{B91805F5-B754-EB4D-9623-FFCADECB5042}" presName="horz2" presStyleCnt="0"/>
      <dgm:spPr/>
    </dgm:pt>
    <dgm:pt modelId="{2BB1902B-081A-C447-81C5-16F0EAA915C8}" type="pres">
      <dgm:prSet presAssocID="{B91805F5-B754-EB4D-9623-FFCADECB5042}" presName="horzSpace2" presStyleCnt="0"/>
      <dgm:spPr/>
    </dgm:pt>
    <dgm:pt modelId="{A6A5310C-01BB-CA45-A4FE-734FC396EB49}" type="pres">
      <dgm:prSet presAssocID="{B91805F5-B754-EB4D-9623-FFCADECB5042}" presName="tx2" presStyleLbl="revTx" presStyleIdx="2" presStyleCnt="5"/>
      <dgm:spPr/>
      <dgm:t>
        <a:bodyPr/>
        <a:lstStyle/>
        <a:p>
          <a:endParaRPr lang="en-US"/>
        </a:p>
      </dgm:t>
    </dgm:pt>
    <dgm:pt modelId="{F959AF6F-1213-934D-A552-9D4450208760}" type="pres">
      <dgm:prSet presAssocID="{B91805F5-B754-EB4D-9623-FFCADECB5042}" presName="vert2" presStyleCnt="0"/>
      <dgm:spPr/>
    </dgm:pt>
    <dgm:pt modelId="{D8A98F74-1CC8-9D45-A33E-AC3EA0BCB594}" type="pres">
      <dgm:prSet presAssocID="{B91805F5-B754-EB4D-9623-FFCADECB5042}" presName="thinLine2b" presStyleLbl="callout" presStyleIdx="1" presStyleCnt="4"/>
      <dgm:spPr/>
    </dgm:pt>
    <dgm:pt modelId="{D86893A7-AFA8-764A-BF4B-530BA9F37CC2}" type="pres">
      <dgm:prSet presAssocID="{B91805F5-B754-EB4D-9623-FFCADECB5042}" presName="vertSpace2b" presStyleCnt="0"/>
      <dgm:spPr/>
    </dgm:pt>
    <dgm:pt modelId="{E5D82005-01C0-BF4B-AF4B-B9F0EBCEB96A}" type="pres">
      <dgm:prSet presAssocID="{9077BE63-D729-C04E-97BE-E9101A7A5C8E}" presName="horz2" presStyleCnt="0"/>
      <dgm:spPr/>
    </dgm:pt>
    <dgm:pt modelId="{1AB7EA2A-483C-B04F-AF99-165A109C1727}" type="pres">
      <dgm:prSet presAssocID="{9077BE63-D729-C04E-97BE-E9101A7A5C8E}" presName="horzSpace2" presStyleCnt="0"/>
      <dgm:spPr/>
    </dgm:pt>
    <dgm:pt modelId="{EBC2ECC5-B5F4-574A-BE03-A048F429A3A8}" type="pres">
      <dgm:prSet presAssocID="{9077BE63-D729-C04E-97BE-E9101A7A5C8E}" presName="tx2" presStyleLbl="revTx" presStyleIdx="3" presStyleCnt="5"/>
      <dgm:spPr/>
      <dgm:t>
        <a:bodyPr/>
        <a:lstStyle/>
        <a:p>
          <a:endParaRPr lang="en-US"/>
        </a:p>
      </dgm:t>
    </dgm:pt>
    <dgm:pt modelId="{F643E55C-C143-F94C-BBC1-80F5B1ABF681}" type="pres">
      <dgm:prSet presAssocID="{9077BE63-D729-C04E-97BE-E9101A7A5C8E}" presName="vert2" presStyleCnt="0"/>
      <dgm:spPr/>
    </dgm:pt>
    <dgm:pt modelId="{F745A3C3-775C-9145-97E8-49F02CE2F880}" type="pres">
      <dgm:prSet presAssocID="{9077BE63-D729-C04E-97BE-E9101A7A5C8E}" presName="thinLine2b" presStyleLbl="callout" presStyleIdx="2" presStyleCnt="4"/>
      <dgm:spPr/>
    </dgm:pt>
    <dgm:pt modelId="{39B8585B-A16A-6143-B846-10E769ECB8C6}" type="pres">
      <dgm:prSet presAssocID="{9077BE63-D729-C04E-97BE-E9101A7A5C8E}" presName="vertSpace2b" presStyleCnt="0"/>
      <dgm:spPr/>
    </dgm:pt>
    <dgm:pt modelId="{34D93198-9111-D94A-ABB6-0649F3D62019}" type="pres">
      <dgm:prSet presAssocID="{BD76FBD3-DBEC-BD47-932D-28A061EE9AC9}" presName="horz2" presStyleCnt="0"/>
      <dgm:spPr/>
    </dgm:pt>
    <dgm:pt modelId="{BB757D8D-723F-F749-BAC1-22D03E0CD2EB}" type="pres">
      <dgm:prSet presAssocID="{BD76FBD3-DBEC-BD47-932D-28A061EE9AC9}" presName="horzSpace2" presStyleCnt="0"/>
      <dgm:spPr/>
    </dgm:pt>
    <dgm:pt modelId="{EC81AA1D-7122-8F4D-BB94-92DC0B5AB51C}" type="pres">
      <dgm:prSet presAssocID="{BD76FBD3-DBEC-BD47-932D-28A061EE9AC9}" presName="tx2" presStyleLbl="revTx" presStyleIdx="4" presStyleCnt="5"/>
      <dgm:spPr/>
      <dgm:t>
        <a:bodyPr/>
        <a:lstStyle/>
        <a:p>
          <a:endParaRPr lang="en-US"/>
        </a:p>
      </dgm:t>
    </dgm:pt>
    <dgm:pt modelId="{3475CAFE-666C-A94D-BE38-B7DA97CD59D8}" type="pres">
      <dgm:prSet presAssocID="{BD76FBD3-DBEC-BD47-932D-28A061EE9AC9}" presName="vert2" presStyleCnt="0"/>
      <dgm:spPr/>
    </dgm:pt>
    <dgm:pt modelId="{B10EEC3E-503B-7C47-9610-A1A02F1F3574}" type="pres">
      <dgm:prSet presAssocID="{BD76FBD3-DBEC-BD47-932D-28A061EE9AC9}" presName="thinLine2b" presStyleLbl="callout" presStyleIdx="3" presStyleCnt="4"/>
      <dgm:spPr/>
    </dgm:pt>
    <dgm:pt modelId="{59C96DB8-3A97-E842-B95F-47EF74AF6D38}" type="pres">
      <dgm:prSet presAssocID="{BD76FBD3-DBEC-BD47-932D-28A061EE9AC9}" presName="vertSpace2b" presStyleCnt="0"/>
      <dgm:spPr/>
    </dgm:pt>
  </dgm:ptLst>
  <dgm:cxnLst>
    <dgm:cxn modelId="{07075923-00C8-4B52-9C2E-CB4B6B3BF02B}" type="presOf" srcId="{F7A851A7-C1D4-3148-AB46-D9D509CF5A53}" destId="{F7CB4ACD-82FF-5047-A3DF-55C0018E0512}" srcOrd="0" destOrd="0" presId="urn:microsoft.com/office/officeart/2008/layout/LinedList"/>
    <dgm:cxn modelId="{4D04DC61-FF88-4CFF-B339-5BE03FEB01B7}" type="presOf" srcId="{BD76FBD3-DBEC-BD47-932D-28A061EE9AC9}" destId="{EC81AA1D-7122-8F4D-BB94-92DC0B5AB51C}" srcOrd="0" destOrd="0" presId="urn:microsoft.com/office/officeart/2008/layout/LinedList"/>
    <dgm:cxn modelId="{A4AE586C-CB7A-9745-9374-77C383CE36F8}" srcId="{DBE1A586-9E94-8D4D-8DB6-5107EB2D3C5E}" destId="{C1C72F7C-1AF9-B04A-88B5-8060F0DF3BBE}" srcOrd="0" destOrd="0" parTransId="{3B1B6CCE-20CA-9749-B7C5-4CB672E6BEE4}" sibTransId="{1E52F5D9-5566-4D41-AC7F-B64DEA28CA82}"/>
    <dgm:cxn modelId="{84117E01-7FCF-5148-AF30-5EA31594F024}" srcId="{C1C72F7C-1AF9-B04A-88B5-8060F0DF3BBE}" destId="{BD76FBD3-DBEC-BD47-932D-28A061EE9AC9}" srcOrd="3" destOrd="0" parTransId="{5E41B93D-5545-AA4C-936B-D303F2D29086}" sibTransId="{1B5E9BC0-9203-D74A-A32C-BD651885D96D}"/>
    <dgm:cxn modelId="{83F7B860-E453-4A3B-8C2E-9AD1B6F28B50}" type="presOf" srcId="{9077BE63-D729-C04E-97BE-E9101A7A5C8E}" destId="{EBC2ECC5-B5F4-574A-BE03-A048F429A3A8}" srcOrd="0" destOrd="0" presId="urn:microsoft.com/office/officeart/2008/layout/LinedList"/>
    <dgm:cxn modelId="{2729C85A-5DF3-164B-B4B8-2B914C2FC7BC}" srcId="{C1C72F7C-1AF9-B04A-88B5-8060F0DF3BBE}" destId="{9077BE63-D729-C04E-97BE-E9101A7A5C8E}" srcOrd="2" destOrd="0" parTransId="{D443E248-46FF-3F47-8875-52185E0EB1E1}" sibTransId="{7B9E2270-F2B8-A34F-9C7B-7D164EA7CDB0}"/>
    <dgm:cxn modelId="{A760BCE2-84E1-43CB-BD83-BE2FF6E4A138}" type="presOf" srcId="{DBE1A586-9E94-8D4D-8DB6-5107EB2D3C5E}" destId="{4C5F44D2-75A0-5D4F-A4AC-EC15DC58D577}" srcOrd="0" destOrd="0" presId="urn:microsoft.com/office/officeart/2008/layout/LinedList"/>
    <dgm:cxn modelId="{DAABAE5B-63E1-C84E-989D-A1EB1A6B0C11}" srcId="{C1C72F7C-1AF9-B04A-88B5-8060F0DF3BBE}" destId="{F7A851A7-C1D4-3148-AB46-D9D509CF5A53}" srcOrd="0" destOrd="0" parTransId="{18FA45E2-8F78-FD47-8060-D3E9A9806C95}" sibTransId="{F3CB97E6-5871-3F47-B749-76B3BE65D29A}"/>
    <dgm:cxn modelId="{2BF354F5-3537-E743-83FB-18E6CD89A4B3}" srcId="{C1C72F7C-1AF9-B04A-88B5-8060F0DF3BBE}" destId="{B91805F5-B754-EB4D-9623-FFCADECB5042}" srcOrd="1" destOrd="0" parTransId="{9A7801FC-A82B-C042-8BBF-5AF1F41D87F1}" sibTransId="{FC79C615-5DF2-D047-A635-40F69DEF7B72}"/>
    <dgm:cxn modelId="{611EFD18-9FB5-4070-939E-9542F20AEA6C}" type="presOf" srcId="{B91805F5-B754-EB4D-9623-FFCADECB5042}" destId="{A6A5310C-01BB-CA45-A4FE-734FC396EB49}" srcOrd="0" destOrd="0" presId="urn:microsoft.com/office/officeart/2008/layout/LinedList"/>
    <dgm:cxn modelId="{2C68EFBB-E8C5-4A6E-908E-F6F902E0B92F}" type="presOf" srcId="{C1C72F7C-1AF9-B04A-88B5-8060F0DF3BBE}" destId="{E9770A43-564B-7D44-9208-C00FF75F99B6}" srcOrd="0" destOrd="0" presId="urn:microsoft.com/office/officeart/2008/layout/LinedList"/>
    <dgm:cxn modelId="{4C026580-FB15-477C-BC51-7478953879BA}" type="presParOf" srcId="{4C5F44D2-75A0-5D4F-A4AC-EC15DC58D577}" destId="{31E01D41-40F2-8E41-A315-63F2363F8E55}" srcOrd="0" destOrd="0" presId="urn:microsoft.com/office/officeart/2008/layout/LinedList"/>
    <dgm:cxn modelId="{DC183BD3-6EF5-468D-9267-89CA5E9E25E3}" type="presParOf" srcId="{4C5F44D2-75A0-5D4F-A4AC-EC15DC58D577}" destId="{54F44C9F-6360-7B48-8FA7-74E0BCADF2B1}" srcOrd="1" destOrd="0" presId="urn:microsoft.com/office/officeart/2008/layout/LinedList"/>
    <dgm:cxn modelId="{3B61D4F8-FACD-4633-A1A0-2A5E67CA1F53}" type="presParOf" srcId="{54F44C9F-6360-7B48-8FA7-74E0BCADF2B1}" destId="{E9770A43-564B-7D44-9208-C00FF75F99B6}" srcOrd="0" destOrd="0" presId="urn:microsoft.com/office/officeart/2008/layout/LinedList"/>
    <dgm:cxn modelId="{482B00BD-FB46-4D45-B438-D235E0ADCC68}" type="presParOf" srcId="{54F44C9F-6360-7B48-8FA7-74E0BCADF2B1}" destId="{F20AC442-DC31-274E-81B9-685BEC51BB65}" srcOrd="1" destOrd="0" presId="urn:microsoft.com/office/officeart/2008/layout/LinedList"/>
    <dgm:cxn modelId="{5FC44975-BF3F-4234-9B9C-6DBA3812EE78}" type="presParOf" srcId="{F20AC442-DC31-274E-81B9-685BEC51BB65}" destId="{D0285185-9090-534D-8E1A-A8F95F7449E1}" srcOrd="0" destOrd="0" presId="urn:microsoft.com/office/officeart/2008/layout/LinedList"/>
    <dgm:cxn modelId="{4C1CD884-C568-4C20-92D8-6A24CD2BB767}" type="presParOf" srcId="{F20AC442-DC31-274E-81B9-685BEC51BB65}" destId="{03202554-590A-2C4D-BF5C-A5DC65DD9597}" srcOrd="1" destOrd="0" presId="urn:microsoft.com/office/officeart/2008/layout/LinedList"/>
    <dgm:cxn modelId="{1D1672EA-72E0-4370-971D-E5686FC3D098}" type="presParOf" srcId="{03202554-590A-2C4D-BF5C-A5DC65DD9597}" destId="{49EBF067-CA3F-5641-9699-93E7B67B8E1B}" srcOrd="0" destOrd="0" presId="urn:microsoft.com/office/officeart/2008/layout/LinedList"/>
    <dgm:cxn modelId="{429EB526-ACDE-4D5D-87B2-6CF23289B691}" type="presParOf" srcId="{03202554-590A-2C4D-BF5C-A5DC65DD9597}" destId="{F7CB4ACD-82FF-5047-A3DF-55C0018E0512}" srcOrd="1" destOrd="0" presId="urn:microsoft.com/office/officeart/2008/layout/LinedList"/>
    <dgm:cxn modelId="{F9FC5A39-66B9-4D75-BB9B-5063D2EA0638}" type="presParOf" srcId="{03202554-590A-2C4D-BF5C-A5DC65DD9597}" destId="{10F15FE9-923C-514F-8F5A-A67A66263912}" srcOrd="2" destOrd="0" presId="urn:microsoft.com/office/officeart/2008/layout/LinedList"/>
    <dgm:cxn modelId="{494919A9-9619-4DD1-A3A6-BA6012EAB57C}" type="presParOf" srcId="{F20AC442-DC31-274E-81B9-685BEC51BB65}" destId="{38304038-21E5-CC43-A02B-A75BAC644469}" srcOrd="2" destOrd="0" presId="urn:microsoft.com/office/officeart/2008/layout/LinedList"/>
    <dgm:cxn modelId="{130F8F3A-B4B2-4214-9722-B411B4EFA833}" type="presParOf" srcId="{F20AC442-DC31-274E-81B9-685BEC51BB65}" destId="{6B34FC69-14F2-3A49-BB8F-BC8AE98375CD}" srcOrd="3" destOrd="0" presId="urn:microsoft.com/office/officeart/2008/layout/LinedList"/>
    <dgm:cxn modelId="{A4EDA537-7F6E-456A-8AD2-7FB4C9C8DF5F}" type="presParOf" srcId="{F20AC442-DC31-274E-81B9-685BEC51BB65}" destId="{C1E95F07-EDEF-BD4D-ABDF-E33653B56217}" srcOrd="4" destOrd="0" presId="urn:microsoft.com/office/officeart/2008/layout/LinedList"/>
    <dgm:cxn modelId="{65972712-53AE-46A8-9AF2-BB6F06F31E19}" type="presParOf" srcId="{C1E95F07-EDEF-BD4D-ABDF-E33653B56217}" destId="{2BB1902B-081A-C447-81C5-16F0EAA915C8}" srcOrd="0" destOrd="0" presId="urn:microsoft.com/office/officeart/2008/layout/LinedList"/>
    <dgm:cxn modelId="{0EE536FD-2F13-4B73-B84C-6FC0044CF63D}" type="presParOf" srcId="{C1E95F07-EDEF-BD4D-ABDF-E33653B56217}" destId="{A6A5310C-01BB-CA45-A4FE-734FC396EB49}" srcOrd="1" destOrd="0" presId="urn:microsoft.com/office/officeart/2008/layout/LinedList"/>
    <dgm:cxn modelId="{7634E27B-ECC8-44B6-BA4E-5EA93271A8F2}" type="presParOf" srcId="{C1E95F07-EDEF-BD4D-ABDF-E33653B56217}" destId="{F959AF6F-1213-934D-A552-9D4450208760}" srcOrd="2" destOrd="0" presId="urn:microsoft.com/office/officeart/2008/layout/LinedList"/>
    <dgm:cxn modelId="{20AAFADF-92BB-402E-BE0A-6D872E288928}" type="presParOf" srcId="{F20AC442-DC31-274E-81B9-685BEC51BB65}" destId="{D8A98F74-1CC8-9D45-A33E-AC3EA0BCB594}" srcOrd="5" destOrd="0" presId="urn:microsoft.com/office/officeart/2008/layout/LinedList"/>
    <dgm:cxn modelId="{EE4A4147-993C-49A6-8435-5C4EB93CB6DF}" type="presParOf" srcId="{F20AC442-DC31-274E-81B9-685BEC51BB65}" destId="{D86893A7-AFA8-764A-BF4B-530BA9F37CC2}" srcOrd="6" destOrd="0" presId="urn:microsoft.com/office/officeart/2008/layout/LinedList"/>
    <dgm:cxn modelId="{273CA11B-A100-4F57-90B8-9C8C0BC0DAD2}" type="presParOf" srcId="{F20AC442-DC31-274E-81B9-685BEC51BB65}" destId="{E5D82005-01C0-BF4B-AF4B-B9F0EBCEB96A}" srcOrd="7" destOrd="0" presId="urn:microsoft.com/office/officeart/2008/layout/LinedList"/>
    <dgm:cxn modelId="{215CF4CC-9AA5-44A5-B00D-912985BFAF76}" type="presParOf" srcId="{E5D82005-01C0-BF4B-AF4B-B9F0EBCEB96A}" destId="{1AB7EA2A-483C-B04F-AF99-165A109C1727}" srcOrd="0" destOrd="0" presId="urn:microsoft.com/office/officeart/2008/layout/LinedList"/>
    <dgm:cxn modelId="{51D97852-9436-4338-ADD7-7C8FE4B6ABB4}" type="presParOf" srcId="{E5D82005-01C0-BF4B-AF4B-B9F0EBCEB96A}" destId="{EBC2ECC5-B5F4-574A-BE03-A048F429A3A8}" srcOrd="1" destOrd="0" presId="urn:microsoft.com/office/officeart/2008/layout/LinedList"/>
    <dgm:cxn modelId="{AC5AC3A8-8826-409D-B847-94515F48F982}" type="presParOf" srcId="{E5D82005-01C0-BF4B-AF4B-B9F0EBCEB96A}" destId="{F643E55C-C143-F94C-BBC1-80F5B1ABF681}" srcOrd="2" destOrd="0" presId="urn:microsoft.com/office/officeart/2008/layout/LinedList"/>
    <dgm:cxn modelId="{14ABE179-63BA-4729-95BE-FA866E3EC130}" type="presParOf" srcId="{F20AC442-DC31-274E-81B9-685BEC51BB65}" destId="{F745A3C3-775C-9145-97E8-49F02CE2F880}" srcOrd="8" destOrd="0" presId="urn:microsoft.com/office/officeart/2008/layout/LinedList"/>
    <dgm:cxn modelId="{5A672C94-60F0-4D3E-8F51-B318603ADD61}" type="presParOf" srcId="{F20AC442-DC31-274E-81B9-685BEC51BB65}" destId="{39B8585B-A16A-6143-B846-10E769ECB8C6}" srcOrd="9" destOrd="0" presId="urn:microsoft.com/office/officeart/2008/layout/LinedList"/>
    <dgm:cxn modelId="{FA37B717-8C8F-48E9-8E05-2FBBE8D001D6}" type="presParOf" srcId="{F20AC442-DC31-274E-81B9-685BEC51BB65}" destId="{34D93198-9111-D94A-ABB6-0649F3D62019}" srcOrd="10" destOrd="0" presId="urn:microsoft.com/office/officeart/2008/layout/LinedList"/>
    <dgm:cxn modelId="{1290A93F-28A5-4FCA-856F-DE0007D925A3}" type="presParOf" srcId="{34D93198-9111-D94A-ABB6-0649F3D62019}" destId="{BB757D8D-723F-F749-BAC1-22D03E0CD2EB}" srcOrd="0" destOrd="0" presId="urn:microsoft.com/office/officeart/2008/layout/LinedList"/>
    <dgm:cxn modelId="{96C06BA6-7770-4700-8931-7C10FC428C77}" type="presParOf" srcId="{34D93198-9111-D94A-ABB6-0649F3D62019}" destId="{EC81AA1D-7122-8F4D-BB94-92DC0B5AB51C}" srcOrd="1" destOrd="0" presId="urn:microsoft.com/office/officeart/2008/layout/LinedList"/>
    <dgm:cxn modelId="{024AD0B9-CDE6-4A5C-9BBC-B41CA98790E5}" type="presParOf" srcId="{34D93198-9111-D94A-ABB6-0649F3D62019}" destId="{3475CAFE-666C-A94D-BE38-B7DA97CD59D8}" srcOrd="2" destOrd="0" presId="urn:microsoft.com/office/officeart/2008/layout/LinedList"/>
    <dgm:cxn modelId="{E182B95C-1801-4DBA-8D51-7B1BA77294FF}" type="presParOf" srcId="{F20AC442-DC31-274E-81B9-685BEC51BB65}" destId="{B10EEC3E-503B-7C47-9610-A1A02F1F3574}" srcOrd="11" destOrd="0" presId="urn:microsoft.com/office/officeart/2008/layout/LinedList"/>
    <dgm:cxn modelId="{6E211233-4174-4661-A0D5-B48FC555EA11}" type="presParOf" srcId="{F20AC442-DC31-274E-81B9-685BEC51BB65}" destId="{59C96DB8-3A97-E842-B95F-47EF74AF6D38}" srcOrd="12" destOrd="0" presId="urn:microsoft.com/office/officeart/2008/layout/Lin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52D38-D586-AC4D-90D6-A60F48B347EA}">
      <dsp:nvSpPr>
        <dsp:cNvPr id="0" name=""/>
        <dsp:cNvSpPr/>
      </dsp:nvSpPr>
      <dsp:spPr>
        <a:xfrm rot="5400000">
          <a:off x="-191161" y="191450"/>
          <a:ext cx="1274411" cy="892088"/>
        </a:xfrm>
        <a:prstGeom prst="flowChartAlternateProcess">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smtClean="0">
              <a:solidFill>
                <a:srgbClr val="FFFFFF"/>
              </a:solidFill>
              <a:latin typeface="Arial" panose="020B0604020202020204" pitchFamily="34" charset="0"/>
              <a:cs typeface="Arial" panose="020B0604020202020204" pitchFamily="34" charset="0"/>
            </a:rPr>
            <a:t>Program Alignment</a:t>
          </a:r>
          <a:endParaRPr lang="en-US" sz="1200" b="1" kern="1200" dirty="0">
            <a:solidFill>
              <a:srgbClr val="FFFFFF"/>
            </a:solidFill>
            <a:latin typeface="Arial" panose="020B0604020202020204" pitchFamily="34" charset="0"/>
            <a:cs typeface="Arial" panose="020B0604020202020204" pitchFamily="34" charset="0"/>
          </a:endParaRPr>
        </a:p>
      </dsp:txBody>
      <dsp:txXfrm rot="-5400000">
        <a:off x="43547" y="43836"/>
        <a:ext cx="804994" cy="1187317"/>
      </dsp:txXfrm>
    </dsp:sp>
    <dsp:sp modelId="{76B5C00B-5213-714D-99A3-B2EEE14C847C}">
      <dsp:nvSpPr>
        <dsp:cNvPr id="0" name=""/>
        <dsp:cNvSpPr/>
      </dsp:nvSpPr>
      <dsp:spPr>
        <a:xfrm rot="5400000">
          <a:off x="3003660" y="-1997598"/>
          <a:ext cx="828367" cy="5051511"/>
        </a:xfrm>
        <a:prstGeom prst="round2SameRect">
          <a:avLst/>
        </a:prstGeom>
        <a:solidFill>
          <a:schemeClr val="accent1">
            <a:lumMod val="40000"/>
            <a:lumOff val="60000"/>
            <a:alpha val="9000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smtClean="0"/>
            <a:t>Unified strategic planning across core programs</a:t>
          </a:r>
          <a:endParaRPr lang="en-US" sz="1300" kern="1200" dirty="0"/>
        </a:p>
        <a:p>
          <a:pPr marL="114300" lvl="1" indent="-114300" algn="l" defTabSz="577850">
            <a:lnSpc>
              <a:spcPct val="90000"/>
            </a:lnSpc>
            <a:spcBef>
              <a:spcPct val="0"/>
            </a:spcBef>
            <a:spcAft>
              <a:spcPct val="15000"/>
            </a:spcAft>
            <a:buChar char="••"/>
          </a:pPr>
          <a:r>
            <a:rPr lang="en-US" sz="1300" kern="1200" dirty="0" smtClean="0"/>
            <a:t>Enhances role of State and Local Workforce Development Boards in developing and implementing a Unified State Plan</a:t>
          </a:r>
          <a:endParaRPr lang="en-US" sz="1300" kern="1200" dirty="0"/>
        </a:p>
      </dsp:txBody>
      <dsp:txXfrm rot="-5400000">
        <a:off x="892088" y="154412"/>
        <a:ext cx="5011073" cy="747491"/>
      </dsp:txXfrm>
    </dsp:sp>
    <dsp:sp modelId="{681B7540-570C-C345-89A2-BF60501E8F65}">
      <dsp:nvSpPr>
        <dsp:cNvPr id="0" name=""/>
        <dsp:cNvSpPr/>
      </dsp:nvSpPr>
      <dsp:spPr>
        <a:xfrm rot="5400000">
          <a:off x="-191161" y="1266550"/>
          <a:ext cx="1274411" cy="892088"/>
        </a:xfrm>
        <a:prstGeom prst="flowChartAlternateProcess">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solidFill>
                <a:srgbClr val="FFFFFF"/>
              </a:solidFill>
              <a:latin typeface="Arial" panose="020B0604020202020204" pitchFamily="34" charset="0"/>
              <a:cs typeface="Arial" panose="020B0604020202020204" pitchFamily="34" charset="0"/>
            </a:rPr>
            <a:t>Increased Accountability</a:t>
          </a:r>
          <a:endParaRPr lang="en-US" sz="900" b="1" kern="1200" dirty="0">
            <a:solidFill>
              <a:srgbClr val="FFFFFF"/>
            </a:solidFill>
            <a:latin typeface="Arial" panose="020B0604020202020204" pitchFamily="34" charset="0"/>
            <a:cs typeface="Arial" panose="020B0604020202020204" pitchFamily="34" charset="0"/>
          </a:endParaRPr>
        </a:p>
      </dsp:txBody>
      <dsp:txXfrm rot="-5400000">
        <a:off x="43547" y="1118936"/>
        <a:ext cx="804994" cy="1187317"/>
      </dsp:txXfrm>
    </dsp:sp>
    <dsp:sp modelId="{1934CD92-B328-5B44-ACA8-2AE8646BA411}">
      <dsp:nvSpPr>
        <dsp:cNvPr id="0" name=""/>
        <dsp:cNvSpPr/>
      </dsp:nvSpPr>
      <dsp:spPr>
        <a:xfrm rot="5400000">
          <a:off x="3003660" y="-922605"/>
          <a:ext cx="828367" cy="5051511"/>
        </a:xfrm>
        <a:prstGeom prst="round2SameRect">
          <a:avLst/>
        </a:prstGeom>
        <a:solidFill>
          <a:schemeClr val="accent1">
            <a:lumMod val="40000"/>
            <a:lumOff val="60000"/>
            <a:alpha val="9000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smtClean="0"/>
            <a:t>Establishment of common measures across core programs</a:t>
          </a:r>
          <a:endParaRPr lang="en-US" sz="1300" kern="1200" dirty="0"/>
        </a:p>
        <a:p>
          <a:pPr marL="114300" lvl="1" indent="-114300" algn="l" defTabSz="577850">
            <a:lnSpc>
              <a:spcPct val="90000"/>
            </a:lnSpc>
            <a:spcBef>
              <a:spcPct val="0"/>
            </a:spcBef>
            <a:spcAft>
              <a:spcPct val="15000"/>
            </a:spcAft>
            <a:buChar char="••"/>
          </a:pPr>
          <a:r>
            <a:rPr lang="en-US" sz="1300" kern="1200" dirty="0" smtClean="0"/>
            <a:t>Increases accountability and transparency through reporting and evaluations</a:t>
          </a:r>
          <a:endParaRPr lang="en-US" sz="1300" kern="1200" dirty="0"/>
        </a:p>
      </dsp:txBody>
      <dsp:txXfrm rot="-5400000">
        <a:off x="892088" y="1229405"/>
        <a:ext cx="5011073" cy="747491"/>
      </dsp:txXfrm>
    </dsp:sp>
    <dsp:sp modelId="{DC46A14A-DA75-CE48-AF6C-E3B6C14ADB77}">
      <dsp:nvSpPr>
        <dsp:cNvPr id="0" name=""/>
        <dsp:cNvSpPr/>
      </dsp:nvSpPr>
      <dsp:spPr>
        <a:xfrm rot="5400000">
          <a:off x="-191161" y="2341651"/>
          <a:ext cx="1274411" cy="892088"/>
        </a:xfrm>
        <a:prstGeom prst="flowChartAlternateProcess">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smtClean="0">
              <a:solidFill>
                <a:srgbClr val="FFFFFF"/>
              </a:solidFill>
              <a:latin typeface="Arial" panose="020B0604020202020204" pitchFamily="34" charset="0"/>
              <a:cs typeface="Arial" panose="020B0604020202020204" pitchFamily="34" charset="0"/>
            </a:rPr>
            <a:t>Enhanced Service  Delivery</a:t>
          </a:r>
          <a:endParaRPr lang="en-US" sz="1200" b="1" kern="1200" dirty="0">
            <a:solidFill>
              <a:srgbClr val="FFFFFF"/>
            </a:solidFill>
            <a:latin typeface="Arial" panose="020B0604020202020204" pitchFamily="34" charset="0"/>
            <a:cs typeface="Arial" panose="020B0604020202020204" pitchFamily="34" charset="0"/>
          </a:endParaRPr>
        </a:p>
      </dsp:txBody>
      <dsp:txXfrm rot="-5400000">
        <a:off x="43547" y="2194037"/>
        <a:ext cx="804994" cy="1187317"/>
      </dsp:txXfrm>
    </dsp:sp>
    <dsp:sp modelId="{C7429C0C-7B74-374F-95B6-E22AE5969F60}">
      <dsp:nvSpPr>
        <dsp:cNvPr id="0" name=""/>
        <dsp:cNvSpPr/>
      </dsp:nvSpPr>
      <dsp:spPr>
        <a:xfrm rot="5400000">
          <a:off x="3003660" y="161822"/>
          <a:ext cx="828367" cy="5051511"/>
        </a:xfrm>
        <a:prstGeom prst="round2SameRect">
          <a:avLst/>
        </a:prstGeom>
        <a:solidFill>
          <a:schemeClr val="accent1">
            <a:lumMod val="40000"/>
            <a:lumOff val="60000"/>
            <a:alpha val="9000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smtClean="0"/>
            <a:t>Promotes engagement of employers and alignment of education and training activities through career pathways</a:t>
          </a:r>
          <a:endParaRPr lang="en-US" sz="1300" kern="1200" dirty="0"/>
        </a:p>
        <a:p>
          <a:pPr marL="114300" lvl="1" indent="-114300" algn="l" defTabSz="577850">
            <a:lnSpc>
              <a:spcPct val="90000"/>
            </a:lnSpc>
            <a:spcBef>
              <a:spcPct val="0"/>
            </a:spcBef>
            <a:spcAft>
              <a:spcPct val="15000"/>
            </a:spcAft>
            <a:buChar char="••"/>
          </a:pPr>
          <a:r>
            <a:rPr lang="en-US" sz="1300" kern="1200" dirty="0" smtClean="0"/>
            <a:t>Strengthens partnerships and investments in one-stop delivery system</a:t>
          </a:r>
          <a:endParaRPr lang="en-US" sz="1300" kern="1200" dirty="0"/>
        </a:p>
      </dsp:txBody>
      <dsp:txXfrm rot="-5400000">
        <a:off x="892088" y="2313832"/>
        <a:ext cx="5011073" cy="7474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E01D41-40F2-8E41-A315-63F2363F8E55}">
      <dsp:nvSpPr>
        <dsp:cNvPr id="0" name=""/>
        <dsp:cNvSpPr/>
      </dsp:nvSpPr>
      <dsp:spPr>
        <a:xfrm>
          <a:off x="0" y="0"/>
          <a:ext cx="5943599"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E9770A43-564B-7D44-9208-C00FF75F99B6}">
      <dsp:nvSpPr>
        <dsp:cNvPr id="0" name=""/>
        <dsp:cNvSpPr/>
      </dsp:nvSpPr>
      <dsp:spPr>
        <a:xfrm>
          <a:off x="0" y="0"/>
          <a:ext cx="1188720" cy="1952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US" sz="2100" b="1" kern="1200" dirty="0" smtClean="0">
              <a:solidFill>
                <a:schemeClr val="accent1">
                  <a:lumMod val="50000"/>
                </a:schemeClr>
              </a:solidFill>
            </a:rPr>
            <a:t>AEFLA Plan Elements</a:t>
          </a:r>
          <a:endParaRPr lang="en-US" sz="2100" b="1" kern="1200" dirty="0">
            <a:solidFill>
              <a:schemeClr val="accent1">
                <a:lumMod val="50000"/>
              </a:schemeClr>
            </a:solidFill>
          </a:endParaRPr>
        </a:p>
      </dsp:txBody>
      <dsp:txXfrm>
        <a:off x="0" y="0"/>
        <a:ext cx="1188720" cy="1952625"/>
      </dsp:txXfrm>
    </dsp:sp>
    <dsp:sp modelId="{F7CB4ACD-82FF-5047-A3DF-55C0018E0512}">
      <dsp:nvSpPr>
        <dsp:cNvPr id="0" name=""/>
        <dsp:cNvSpPr/>
      </dsp:nvSpPr>
      <dsp:spPr>
        <a:xfrm>
          <a:off x="1277873" y="22953"/>
          <a:ext cx="4665725" cy="45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solidFill>
                <a:schemeClr val="accent1">
                  <a:lumMod val="50000"/>
                </a:schemeClr>
              </a:solidFill>
            </a:rPr>
            <a:t>Alignment of adult education content standards with ESEA State academic standards</a:t>
          </a:r>
          <a:endParaRPr lang="en-US" sz="1200" kern="1200" dirty="0">
            <a:solidFill>
              <a:schemeClr val="accent1">
                <a:lumMod val="50000"/>
              </a:schemeClr>
            </a:solidFill>
          </a:endParaRPr>
        </a:p>
      </dsp:txBody>
      <dsp:txXfrm>
        <a:off x="1277873" y="22953"/>
        <a:ext cx="4665725" cy="459076"/>
      </dsp:txXfrm>
    </dsp:sp>
    <dsp:sp modelId="{38304038-21E5-CC43-A02B-A75BAC644469}">
      <dsp:nvSpPr>
        <dsp:cNvPr id="0" name=""/>
        <dsp:cNvSpPr/>
      </dsp:nvSpPr>
      <dsp:spPr>
        <a:xfrm>
          <a:off x="1188719" y="482030"/>
          <a:ext cx="47548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A6A5310C-01BB-CA45-A4FE-734FC396EB49}">
      <dsp:nvSpPr>
        <dsp:cNvPr id="0" name=""/>
        <dsp:cNvSpPr/>
      </dsp:nvSpPr>
      <dsp:spPr>
        <a:xfrm>
          <a:off x="1277873" y="504984"/>
          <a:ext cx="4665725" cy="45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solidFill>
                <a:schemeClr val="accent1">
                  <a:lumMod val="50000"/>
                </a:schemeClr>
              </a:solidFill>
            </a:rPr>
            <a:t>Funding of local activities using 13 considerations under AEFLA</a:t>
          </a:r>
          <a:endParaRPr lang="en-US" sz="1200" kern="1200" dirty="0">
            <a:solidFill>
              <a:schemeClr val="accent1">
                <a:lumMod val="50000"/>
              </a:schemeClr>
            </a:solidFill>
          </a:endParaRPr>
        </a:p>
      </dsp:txBody>
      <dsp:txXfrm>
        <a:off x="1277873" y="504984"/>
        <a:ext cx="4665725" cy="459076"/>
      </dsp:txXfrm>
    </dsp:sp>
    <dsp:sp modelId="{D8A98F74-1CC8-9D45-A33E-AC3EA0BCB594}">
      <dsp:nvSpPr>
        <dsp:cNvPr id="0" name=""/>
        <dsp:cNvSpPr/>
      </dsp:nvSpPr>
      <dsp:spPr>
        <a:xfrm>
          <a:off x="1188719" y="964060"/>
          <a:ext cx="47548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EBC2ECC5-B5F4-574A-BE03-A048F429A3A8}">
      <dsp:nvSpPr>
        <dsp:cNvPr id="0" name=""/>
        <dsp:cNvSpPr/>
      </dsp:nvSpPr>
      <dsp:spPr>
        <a:xfrm>
          <a:off x="1277873" y="987014"/>
          <a:ext cx="4665725" cy="45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solidFill>
                <a:schemeClr val="accent1">
                  <a:lumMod val="50000"/>
                </a:schemeClr>
              </a:solidFill>
            </a:rPr>
            <a:t>Use of funds for adult education and literacy activities</a:t>
          </a:r>
          <a:endParaRPr lang="en-US" sz="1200" kern="1200" dirty="0">
            <a:solidFill>
              <a:schemeClr val="accent1">
                <a:lumMod val="50000"/>
              </a:schemeClr>
            </a:solidFill>
          </a:endParaRPr>
        </a:p>
      </dsp:txBody>
      <dsp:txXfrm>
        <a:off x="1277873" y="987014"/>
        <a:ext cx="4665725" cy="459076"/>
      </dsp:txXfrm>
    </dsp:sp>
    <dsp:sp modelId="{F745A3C3-775C-9145-97E8-49F02CE2F880}">
      <dsp:nvSpPr>
        <dsp:cNvPr id="0" name=""/>
        <dsp:cNvSpPr/>
      </dsp:nvSpPr>
      <dsp:spPr>
        <a:xfrm>
          <a:off x="1188719" y="1446091"/>
          <a:ext cx="47548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EC81AA1D-7122-8F4D-BB94-92DC0B5AB51C}">
      <dsp:nvSpPr>
        <dsp:cNvPr id="0" name=""/>
        <dsp:cNvSpPr/>
      </dsp:nvSpPr>
      <dsp:spPr>
        <a:xfrm>
          <a:off x="1277873" y="1469045"/>
          <a:ext cx="4665725" cy="45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solidFill>
                <a:schemeClr val="accent1">
                  <a:lumMod val="50000"/>
                </a:schemeClr>
              </a:solidFill>
            </a:rPr>
            <a:t>Assess and improve quality of adult education providers</a:t>
          </a:r>
          <a:endParaRPr lang="en-US" sz="1200" kern="1200" dirty="0">
            <a:solidFill>
              <a:schemeClr val="accent1">
                <a:lumMod val="50000"/>
              </a:schemeClr>
            </a:solidFill>
          </a:endParaRPr>
        </a:p>
      </dsp:txBody>
      <dsp:txXfrm>
        <a:off x="1277873" y="1469045"/>
        <a:ext cx="4665725" cy="459076"/>
      </dsp:txXfrm>
    </dsp:sp>
    <dsp:sp modelId="{B10EEC3E-503B-7C47-9610-A1A02F1F3574}">
      <dsp:nvSpPr>
        <dsp:cNvPr id="0" name=""/>
        <dsp:cNvSpPr/>
      </dsp:nvSpPr>
      <dsp:spPr>
        <a:xfrm>
          <a:off x="1188719" y="1928121"/>
          <a:ext cx="47548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45B3-1097-4097-9F87-B6F65D13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4982</TotalTime>
  <Pages>14</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dc:creator>
  <cp:lastModifiedBy>Hasskamp, Brad</cp:lastModifiedBy>
  <cp:revision>7</cp:revision>
  <cp:lastPrinted>2015-08-17T14:00:00Z</cp:lastPrinted>
  <dcterms:created xsi:type="dcterms:W3CDTF">2015-08-13T22:08:00Z</dcterms:created>
  <dcterms:modified xsi:type="dcterms:W3CDTF">2015-08-17T14:22:00Z</dcterms:modified>
</cp:coreProperties>
</file>