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4365C" w:rsidP="00197518">
          <w:pPr>
            <w:pStyle w:val="Heading1"/>
            <w:rPr>
              <w:lang w:bidi="ar-SA"/>
            </w:rPr>
          </w:pPr>
          <w:r w:rsidRPr="00935D5A">
            <w:rPr>
              <w:highlight w:val="yellow"/>
              <w:lang w:bidi="ar-SA"/>
            </w:rPr>
            <w:t xml:space="preserve">ABE </w:t>
          </w:r>
          <w:r w:rsidR="001324AA" w:rsidRPr="00935D5A">
            <w:rPr>
              <w:highlight w:val="yellow"/>
              <w:lang w:bidi="ar-SA"/>
            </w:rPr>
            <w:t>Consortium</w:t>
          </w:r>
          <w:r w:rsidR="001324AA">
            <w:rPr>
              <w:lang w:bidi="ar-SA"/>
            </w:rPr>
            <w:t xml:space="preserve"> </w:t>
          </w:r>
          <w:r>
            <w:rPr>
              <w:lang w:bidi="ar-SA"/>
            </w:rPr>
            <w:t>Assessment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324A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1324AA">
                  <w:rPr>
                    <w:b/>
                    <w:color w:val="FFFFFF" w:themeColor="background1"/>
                    <w:lang w:bidi="ar-SA"/>
                  </w:rPr>
                  <w:t>Date</w:t>
                </w:r>
                <w:r w:rsidR="00935D5A">
                  <w:rPr>
                    <w:b/>
                    <w:color w:val="FFFFFF" w:themeColor="background1"/>
                    <w:lang w:bidi="ar-SA"/>
                  </w:rPr>
                  <w:t xml:space="preserve">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1324AA" w:rsidRPr="001324AA" w:rsidRDefault="001324AA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Assessment Policy</w:t>
                </w:r>
              </w:p>
            </w:tc>
          </w:tr>
        </w:tbl>
        <w:p w:rsidR="001324AA" w:rsidRDefault="00935D5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testing procedures used at all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 xml:space="preserve">tium is complying with the Minnesota ABE Assessment Policy through </w:t>
          </w:r>
          <w:proofErr w:type="gramStart"/>
          <w:r w:rsidR="005B3933">
            <w:rPr>
              <w:lang w:bidi="ar-SA"/>
            </w:rPr>
            <w:t>outlining</w:t>
          </w:r>
          <w:proofErr w:type="gramEnd"/>
          <w:r w:rsidR="005B3933">
            <w:rPr>
              <w:lang w:bidi="ar-SA"/>
            </w:rPr>
            <w:t>:</w:t>
          </w:r>
        </w:p>
        <w:p w:rsidR="001324AA" w:rsidRDefault="000846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>T</w:t>
          </w:r>
          <w:r w:rsidR="005B3933">
            <w:rPr>
              <w:lang w:bidi="ar-SA"/>
            </w:rPr>
            <w:t xml:space="preserve">he </w:t>
          </w:r>
          <w:r w:rsidR="005B3933" w:rsidRPr="00B50E1A">
            <w:rPr>
              <w:lang w:bidi="ar-SA"/>
            </w:rPr>
            <w:t xml:space="preserve">consortium </w:t>
          </w:r>
          <w:r w:rsidRPr="00B50E1A">
            <w:rPr>
              <w:lang w:bidi="ar-SA"/>
            </w:rPr>
            <w:t xml:space="preserve">use of </w:t>
          </w:r>
          <w:r w:rsidR="00B50E1A" w:rsidRPr="00B50E1A">
            <w:rPr>
              <w:b/>
              <w:lang w:bidi="ar-SA"/>
            </w:rPr>
            <w:t>approved assessments</w:t>
          </w:r>
          <w:r w:rsidR="00B50E1A">
            <w:rPr>
              <w:lang w:bidi="ar-SA"/>
            </w:rPr>
            <w:t xml:space="preserve"> (</w:t>
          </w:r>
          <w:r w:rsidRPr="00B50E1A">
            <w:t xml:space="preserve">CASAS, TABE and/or BEST </w:t>
          </w:r>
          <w:r w:rsidR="00B50E1A">
            <w:t>P</w:t>
          </w:r>
          <w:r w:rsidRPr="00B50E1A">
            <w:t>lus</w:t>
          </w:r>
          <w:r w:rsidR="00B50E1A">
            <w:t>)</w:t>
          </w:r>
          <w:r w:rsidRPr="00B50E1A">
            <w:t xml:space="preserve"> </w:t>
          </w:r>
          <w:r w:rsidR="005B3933" w:rsidRPr="00B50E1A">
            <w:rPr>
              <w:lang w:bidi="ar-SA"/>
            </w:rPr>
            <w:t>and for which</w:t>
          </w:r>
          <w:r w:rsidR="005B3933">
            <w:rPr>
              <w:lang w:bidi="ar-SA"/>
            </w:rPr>
            <w:t xml:space="preserve"> students they are used.</w:t>
          </w:r>
          <w:r>
            <w:rPr>
              <w:lang w:bidi="ar-SA"/>
            </w:rPr>
            <w:t xml:space="preserve"> </w:t>
          </w:r>
        </w:p>
        <w:p w:rsidR="005B3933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pre-testing</w:t>
          </w:r>
          <w:r w:rsidR="000846F9">
            <w:rPr>
              <w:lang w:bidi="ar-SA"/>
            </w:rPr>
            <w:t xml:space="preserve"> to ensure all students have a valid pre-test within the first 12 contact hours</w:t>
          </w:r>
          <w:r>
            <w:rPr>
              <w:lang w:bidi="ar-SA"/>
            </w:rPr>
            <w:t>, including how to ensure that the student does not</w:t>
          </w:r>
          <w:r w:rsidR="004F399A">
            <w:rPr>
              <w:lang w:bidi="ar-SA"/>
            </w:rPr>
            <w:t xml:space="preserve"> already have a valid pre-test</w:t>
          </w:r>
          <w:r>
            <w:rPr>
              <w:lang w:bidi="ar-SA"/>
            </w:rPr>
            <w:t xml:space="preserve">, and how the program </w:t>
          </w:r>
          <w:r w:rsidR="004F399A">
            <w:rPr>
              <w:lang w:bidi="ar-SA"/>
            </w:rPr>
            <w:t>handles in</w:t>
          </w:r>
          <w:r>
            <w:rPr>
              <w:lang w:bidi="ar-SA"/>
            </w:rPr>
            <w:t>valid test</w:t>
          </w:r>
          <w:r w:rsidR="004F399A">
            <w:rPr>
              <w:lang w:bidi="ar-SA"/>
            </w:rPr>
            <w:t xml:space="preserve"> result</w:t>
          </w:r>
          <w:r>
            <w:rPr>
              <w:lang w:bidi="ar-SA"/>
            </w:rPr>
            <w:t>s.</w:t>
          </w:r>
        </w:p>
        <w:p w:rsidR="000846F9" w:rsidRPr="001324AA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post-testing</w:t>
          </w:r>
          <w:r>
            <w:rPr>
              <w:lang w:bidi="ar-SA"/>
            </w:rPr>
            <w:t xml:space="preserve">, including how to ensure that the student is </w:t>
          </w:r>
          <w:r w:rsidR="004F399A">
            <w:rPr>
              <w:lang w:bidi="ar-SA"/>
            </w:rPr>
            <w:t xml:space="preserve">not </w:t>
          </w:r>
          <w:r>
            <w:rPr>
              <w:lang w:bidi="ar-SA"/>
            </w:rPr>
            <w:t>post-test</w:t>
          </w:r>
          <w:r w:rsidR="004F399A">
            <w:rPr>
              <w:lang w:bidi="ar-SA"/>
            </w:rPr>
            <w:t>ed before 40 contact hours</w:t>
          </w:r>
          <w:r>
            <w:rPr>
              <w:lang w:bidi="ar-SA"/>
            </w:rPr>
            <w:t xml:space="preserve">, how the post-tests are administered, how the program </w:t>
          </w:r>
          <w:r w:rsidR="004F399A">
            <w:rPr>
              <w:lang w:bidi="ar-SA"/>
            </w:rPr>
            <w:t>handles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in</w:t>
          </w:r>
          <w:r>
            <w:rPr>
              <w:lang w:bidi="ar-SA"/>
            </w:rPr>
            <w:t>valid test</w:t>
          </w:r>
          <w:r w:rsidR="00695DE9">
            <w:rPr>
              <w:lang w:bidi="ar-SA"/>
            </w:rPr>
            <w:t xml:space="preserve"> form</w:t>
          </w:r>
          <w:r>
            <w:rPr>
              <w:lang w:bidi="ar-SA"/>
            </w:rPr>
            <w:t xml:space="preserve">s </w:t>
          </w:r>
          <w:r w:rsidR="00935D5A">
            <w:rPr>
              <w:lang w:bidi="ar-SA"/>
            </w:rPr>
            <w:t>and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score</w:t>
          </w:r>
          <w:r>
            <w:rPr>
              <w:lang w:bidi="ar-SA"/>
            </w:rPr>
            <w:t>s</w:t>
          </w:r>
          <w:r w:rsidR="004F399A">
            <w:rPr>
              <w:lang w:bidi="ar-SA"/>
            </w:rPr>
            <w:t>,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 xml:space="preserve">how </w:t>
          </w:r>
          <w:r w:rsidR="00695DE9">
            <w:rPr>
              <w:lang w:bidi="ar-SA"/>
            </w:rPr>
            <w:t xml:space="preserve">post-testing </w:t>
          </w:r>
          <w:r w:rsidR="004F399A">
            <w:rPr>
              <w:lang w:bidi="ar-SA"/>
            </w:rPr>
            <w:t xml:space="preserve">data </w:t>
          </w:r>
          <w:r w:rsidR="00695DE9">
            <w:rPr>
              <w:lang w:bidi="ar-SA"/>
            </w:rPr>
            <w:t>is</w:t>
          </w:r>
          <w:r w:rsidR="00B50E1A">
            <w:rPr>
              <w:lang w:bidi="ar-SA"/>
            </w:rPr>
            <w:t xml:space="preserve"> entered into </w:t>
          </w:r>
          <w:proofErr w:type="spellStart"/>
          <w:r w:rsidR="00B50E1A">
            <w:rPr>
              <w:lang w:bidi="ar-SA"/>
            </w:rPr>
            <w:t>SiD</w:t>
          </w:r>
          <w:proofErr w:type="spellEnd"/>
          <w:r w:rsidR="00B50E1A">
            <w:rPr>
              <w:lang w:bidi="ar-SA"/>
            </w:rPr>
            <w:t xml:space="preserve">, and how the </w:t>
          </w:r>
          <w:r w:rsidR="00B358E6">
            <w:rPr>
              <w:lang w:bidi="ar-SA"/>
            </w:rPr>
            <w:t>consortium</w:t>
          </w:r>
          <w:r w:rsidR="00B50E1A">
            <w:rPr>
              <w:lang w:bidi="ar-SA"/>
            </w:rPr>
            <w:t xml:space="preserve"> works to </w:t>
          </w:r>
          <w:r w:rsidR="00B50E1A">
            <w:t>maintain a 60% or greater post-testing rate for all participants within the program year.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the </w:t>
          </w:r>
          <w:r w:rsidRPr="00B50E1A">
            <w:rPr>
              <w:b/>
              <w:lang w:bidi="ar-SA"/>
            </w:rPr>
            <w:t>assessment training requirements</w:t>
          </w:r>
          <w:r>
            <w:rPr>
              <w:lang w:bidi="ar-SA"/>
            </w:rPr>
            <w:t xml:space="preserve"> are for initial testing certification, re-certification at l</w:t>
          </w:r>
          <w:r w:rsidR="00935D5A">
            <w:rPr>
              <w:lang w:bidi="ar-SA"/>
            </w:rPr>
            <w:t xml:space="preserve">east every five years, other ongoing training, </w:t>
          </w:r>
          <w:r>
            <w:rPr>
              <w:lang w:bidi="ar-SA"/>
            </w:rPr>
            <w:t>and for which staff.</w:t>
          </w:r>
          <w:bookmarkStart w:id="0" w:name="_GoBack"/>
          <w:bookmarkEnd w:id="0"/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 xml:space="preserve">regarding </w:t>
          </w:r>
          <w:r>
            <w:rPr>
              <w:lang w:bidi="ar-SA"/>
            </w:rPr>
            <w:t>testing</w:t>
          </w:r>
          <w:r w:rsidR="00935D5A">
            <w:rPr>
              <w:lang w:bidi="ar-SA"/>
            </w:rPr>
            <w:t xml:space="preserve"> and assessment</w:t>
          </w:r>
          <w:r>
            <w:rPr>
              <w:lang w:bidi="ar-SA"/>
            </w:rPr>
            <w:t>.</w:t>
          </w:r>
        </w:p>
        <w:p w:rsidR="00935D5A" w:rsidRDefault="00935D5A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935D5A" w:rsidRDefault="00935D5A" w:rsidP="00935D5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Assessments Used By the Consortium and For Which Students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Pre-Test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Post-Test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 Training Requirements</w:t>
          </w:r>
          <w:r w:rsidR="00935D5A">
            <w:rPr>
              <w:lang w:bidi="ar-SA"/>
            </w:rPr>
            <w:t xml:space="preserve"> and Procedures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5D" w:rsidRDefault="005C1B5D" w:rsidP="00D91FF4">
      <w:r>
        <w:separator/>
      </w:r>
    </w:p>
  </w:endnote>
  <w:endnote w:type="continuationSeparator" w:id="0">
    <w:p w:rsidR="005C1B5D" w:rsidRDefault="005C1B5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 w:rsidRPr="00935D5A">
      <w:rPr>
        <w:color w:val="003865" w:themeColor="accent1"/>
        <w:highlight w:val="yellow"/>
      </w:rPr>
      <w:t>ABE Consortium</w:t>
    </w:r>
    <w:r>
      <w:rPr>
        <w:color w:val="003865" w:themeColor="accent1"/>
      </w:rPr>
      <w:t xml:space="preserve"> Assessment 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935D5A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935D5A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5D" w:rsidRDefault="005C1B5D" w:rsidP="00D91FF4">
      <w:r>
        <w:separator/>
      </w:r>
    </w:p>
  </w:footnote>
  <w:footnote w:type="continuationSeparator" w:id="0">
    <w:p w:rsidR="005C1B5D" w:rsidRDefault="005C1B5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5"/>
  </w:num>
  <w:num w:numId="30">
    <w:abstractNumId w:val="12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16774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C1B5D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A2F2B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D5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15EC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58E6"/>
    <w:rsid w:val="00B437C8"/>
    <w:rsid w:val="00B50E1A"/>
    <w:rsid w:val="00B61640"/>
    <w:rsid w:val="00B75051"/>
    <w:rsid w:val="00B77CC5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206AE"/>
    <w:rsid w:val="00E20F02"/>
    <w:rsid w:val="00E21D72"/>
    <w:rsid w:val="00E229C1"/>
    <w:rsid w:val="00E23397"/>
    <w:rsid w:val="00E26E8F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7F2AE-7DA3-4F62-AAD9-2C686677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</cp:lastModifiedBy>
  <cp:revision>2</cp:revision>
  <cp:lastPrinted>2017-11-06T19:50:00Z</cp:lastPrinted>
  <dcterms:created xsi:type="dcterms:W3CDTF">2017-11-07T15:47:00Z</dcterms:created>
  <dcterms:modified xsi:type="dcterms:W3CDTF">2017-11-07T15:47:00Z</dcterms:modified>
</cp:coreProperties>
</file>