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07" w:rsidRPr="00691C19" w:rsidRDefault="00801A07" w:rsidP="00F5076D">
      <w:pPr>
        <w:pStyle w:val="Heading1"/>
        <w:spacing w:before="0" w:after="0"/>
        <w:rPr>
          <w:color w:val="C00000"/>
          <w:sz w:val="40"/>
        </w:rPr>
      </w:pPr>
      <w:r w:rsidRPr="00691C19">
        <w:rPr>
          <w:color w:val="C00000"/>
          <w:sz w:val="40"/>
        </w:rPr>
        <w:t>Minnesota’s New State Adult Diploma</w:t>
      </w:r>
    </w:p>
    <w:p w:rsidR="00691C19" w:rsidRPr="005C7C4B" w:rsidRDefault="00066EC8" w:rsidP="00691C19">
      <w:pPr>
        <w:pStyle w:val="Heading2"/>
        <w:spacing w:before="0" w:after="0"/>
        <w:rPr>
          <w:color w:val="76923C" w:themeColor="accent3" w:themeShade="BF"/>
        </w:rPr>
      </w:pPr>
      <w:r>
        <w:rPr>
          <w:color w:val="76923C" w:themeColor="accent3" w:themeShade="BF"/>
        </w:rPr>
        <w:t>Defining</w:t>
      </w:r>
      <w:r w:rsidR="00691C19" w:rsidRPr="005C7C4B">
        <w:rPr>
          <w:color w:val="76923C" w:themeColor="accent3" w:themeShade="BF"/>
        </w:rPr>
        <w:t xml:space="preserve"> the </w:t>
      </w:r>
      <w:r w:rsidR="00691C19">
        <w:rPr>
          <w:color w:val="76923C" w:themeColor="accent3" w:themeShade="BF"/>
        </w:rPr>
        <w:t>n</w:t>
      </w:r>
      <w:r w:rsidR="00691C19" w:rsidRPr="005C7C4B">
        <w:rPr>
          <w:color w:val="76923C" w:themeColor="accent3" w:themeShade="BF"/>
        </w:rPr>
        <w:t xml:space="preserve">ew </w:t>
      </w:r>
      <w:r w:rsidR="00BF0344">
        <w:rPr>
          <w:color w:val="76923C" w:themeColor="accent3" w:themeShade="BF"/>
        </w:rPr>
        <w:t>state a</w:t>
      </w:r>
      <w:r w:rsidR="00691C19" w:rsidRPr="005C7C4B">
        <w:rPr>
          <w:color w:val="76923C" w:themeColor="accent3" w:themeShade="BF"/>
        </w:rPr>
        <w:t xml:space="preserve">dult </w:t>
      </w:r>
      <w:r w:rsidR="00BF0344">
        <w:rPr>
          <w:color w:val="76923C" w:themeColor="accent3" w:themeShade="BF"/>
        </w:rPr>
        <w:t>d</w:t>
      </w:r>
      <w:r>
        <w:rPr>
          <w:color w:val="76923C" w:themeColor="accent3" w:themeShade="BF"/>
        </w:rPr>
        <w:t>iploma</w:t>
      </w:r>
    </w:p>
    <w:p w:rsidR="00691C19" w:rsidRPr="00801A07" w:rsidRDefault="00691C19" w:rsidP="00691C19">
      <w:pPr>
        <w:spacing w:before="0"/>
      </w:pPr>
      <w:r>
        <w:t>Minnesota’s new sta</w:t>
      </w:r>
      <w:r w:rsidR="00BF0344">
        <w:t>te</w:t>
      </w:r>
      <w:r>
        <w:t xml:space="preserve"> adult high school diploma is a </w:t>
      </w:r>
      <w:r w:rsidR="00BF0344">
        <w:t xml:space="preserve">standard </w:t>
      </w:r>
      <w:r>
        <w:t>competency-based diploma that is issued by the state department of education for adults that complete an approved ABE program.</w:t>
      </w:r>
    </w:p>
    <w:p w:rsidR="00801A07" w:rsidRPr="00801A07" w:rsidRDefault="00DF1C54" w:rsidP="00801A07">
      <w:r>
        <w:rPr>
          <w:noProof/>
        </w:rPr>
        <w:drawing>
          <wp:inline distT="0" distB="0" distL="0" distR="0" wp14:anchorId="449E2E22" wp14:editId="035C9E61">
            <wp:extent cx="6353175" cy="4581617"/>
            <wp:effectExtent l="0" t="0" r="0" b="9525"/>
            <wp:docPr id="6" name="Picture 6" descr="The new state adult diploma creates a third way for an adult to earn their secondary credential after high school credit completion and the G.E.D." title="Creating a third option for secondary credential attainment for adu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3846"/>
                    <a:stretch/>
                  </pic:blipFill>
                  <pic:spPr bwMode="auto">
                    <a:xfrm>
                      <a:off x="0" y="0"/>
                      <a:ext cx="6353175" cy="4581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1A07" w:rsidRPr="005C7C4B" w:rsidRDefault="00066EC8" w:rsidP="00691C19">
      <w:pPr>
        <w:pStyle w:val="Heading2"/>
        <w:spacing w:after="0"/>
        <w:rPr>
          <w:color w:val="76923C" w:themeColor="accent3" w:themeShade="BF"/>
        </w:rPr>
      </w:pPr>
      <w:r>
        <w:rPr>
          <w:color w:val="76923C" w:themeColor="accent3" w:themeShade="BF"/>
        </w:rPr>
        <w:t>Aligning to Minnesota’s</w:t>
      </w:r>
      <w:r w:rsidR="00801A07" w:rsidRPr="005C7C4B">
        <w:rPr>
          <w:color w:val="76923C" w:themeColor="accent3" w:themeShade="BF"/>
        </w:rPr>
        <w:t xml:space="preserve"> </w:t>
      </w:r>
      <w:r>
        <w:rPr>
          <w:color w:val="76923C" w:themeColor="accent3" w:themeShade="BF"/>
        </w:rPr>
        <w:t>educational s</w:t>
      </w:r>
      <w:r w:rsidR="00F5076D">
        <w:rPr>
          <w:color w:val="76923C" w:themeColor="accent3" w:themeShade="BF"/>
        </w:rPr>
        <w:t>tandards</w:t>
      </w:r>
    </w:p>
    <w:p w:rsidR="00801A07" w:rsidRPr="005C7C4B" w:rsidRDefault="00801A07" w:rsidP="00691C19">
      <w:pPr>
        <w:spacing w:before="0"/>
        <w:rPr>
          <w:rFonts w:cs="Arial"/>
        </w:rPr>
      </w:pPr>
      <w:r>
        <w:rPr>
          <w:rFonts w:cs="Arial"/>
        </w:rPr>
        <w:t>Competencies for the Minnesota State Adult Diploma are based on</w:t>
      </w:r>
      <w:r w:rsidR="005C7C4B">
        <w:rPr>
          <w:rFonts w:cs="Arial"/>
        </w:rPr>
        <w:t xml:space="preserve"> </w:t>
      </w:r>
      <w:r>
        <w:t xml:space="preserve">Minnesota’s current K-12 graduation </w:t>
      </w:r>
      <w:r w:rsidR="008D3FC2">
        <w:t>standard</w:t>
      </w:r>
      <w:r>
        <w:t>s</w:t>
      </w:r>
      <w:r w:rsidR="005C7C4B">
        <w:t xml:space="preserve"> and embed:</w:t>
      </w:r>
    </w:p>
    <w:p w:rsidR="005C7C4B" w:rsidRDefault="00801A07" w:rsidP="008D3FC2">
      <w:pPr>
        <w:pStyle w:val="ListParagraph"/>
        <w:numPr>
          <w:ilvl w:val="0"/>
          <w:numId w:val="25"/>
        </w:numPr>
        <w:spacing w:after="0"/>
      </w:pPr>
      <w:r w:rsidRPr="00B36A02">
        <w:t>College and Career Readiness Standards</w:t>
      </w:r>
      <w:r>
        <w:t xml:space="preserve"> (CCRS) for Adult Education</w:t>
      </w:r>
    </w:p>
    <w:p w:rsidR="00801A07" w:rsidRDefault="00801A07" w:rsidP="008D3FC2">
      <w:pPr>
        <w:pStyle w:val="ListParagraph"/>
        <w:numPr>
          <w:ilvl w:val="0"/>
          <w:numId w:val="25"/>
        </w:numPr>
        <w:spacing w:after="0"/>
      </w:pPr>
      <w:r>
        <w:t xml:space="preserve">Academic, Career and Employability Skills (ACES) </w:t>
      </w:r>
      <w:r w:rsidR="00685D26">
        <w:t xml:space="preserve">Transitions Integration Framework </w:t>
      </w:r>
      <w:r>
        <w:t>and</w:t>
      </w:r>
    </w:p>
    <w:p w:rsidR="005C7C4B" w:rsidRDefault="00801A07" w:rsidP="008D3FC2">
      <w:pPr>
        <w:pStyle w:val="ListParagraph"/>
        <w:numPr>
          <w:ilvl w:val="0"/>
          <w:numId w:val="25"/>
        </w:numPr>
        <w:spacing w:after="0"/>
      </w:pPr>
      <w:proofErr w:type="spellStart"/>
      <w:r>
        <w:t>Northstar</w:t>
      </w:r>
      <w:proofErr w:type="spellEnd"/>
      <w:r>
        <w:t xml:space="preserve"> Digital Literacy Standards</w:t>
      </w:r>
    </w:p>
    <w:p w:rsidR="005C7C4B" w:rsidRPr="00E9493D" w:rsidRDefault="00E9493D" w:rsidP="00691C19">
      <w:pPr>
        <w:pStyle w:val="Heading2"/>
        <w:spacing w:after="0"/>
        <w:rPr>
          <w:color w:val="76923C" w:themeColor="accent3" w:themeShade="BF"/>
        </w:rPr>
      </w:pPr>
      <w:r w:rsidRPr="005C7C4B">
        <w:rPr>
          <w:color w:val="76923C" w:themeColor="accent3" w:themeShade="BF"/>
        </w:rPr>
        <w:t xml:space="preserve">Minnesota State Adult Diploma </w:t>
      </w:r>
      <w:r w:rsidR="00F5076D">
        <w:rPr>
          <w:color w:val="76923C" w:themeColor="accent3" w:themeShade="BF"/>
        </w:rPr>
        <w:t>Competency Domain</w:t>
      </w:r>
      <w:r w:rsidRPr="005C7C4B">
        <w:rPr>
          <w:color w:val="76923C" w:themeColor="accent3" w:themeShade="BF"/>
        </w:rPr>
        <w:t>s</w:t>
      </w:r>
    </w:p>
    <w:p w:rsidR="00801A07" w:rsidRPr="00F5076D" w:rsidRDefault="00801A07" w:rsidP="00BF0344">
      <w:pPr>
        <w:pStyle w:val="ListParagraph"/>
        <w:numPr>
          <w:ilvl w:val="0"/>
          <w:numId w:val="39"/>
        </w:numPr>
        <w:spacing w:after="0"/>
      </w:pPr>
      <w:r w:rsidRPr="00F5076D">
        <w:t>English Language Arts</w:t>
      </w:r>
    </w:p>
    <w:p w:rsidR="00801A07" w:rsidRPr="00F5076D" w:rsidRDefault="00801A07" w:rsidP="00BF0344">
      <w:pPr>
        <w:pStyle w:val="ListParagraph"/>
        <w:numPr>
          <w:ilvl w:val="0"/>
          <w:numId w:val="39"/>
        </w:numPr>
        <w:spacing w:after="0"/>
      </w:pPr>
      <w:r w:rsidRPr="00F5076D">
        <w:t>Mathematics</w:t>
      </w:r>
    </w:p>
    <w:p w:rsidR="00801A07" w:rsidRPr="00F5076D" w:rsidRDefault="00801A07" w:rsidP="00BF0344">
      <w:pPr>
        <w:pStyle w:val="List"/>
        <w:numPr>
          <w:ilvl w:val="0"/>
          <w:numId w:val="39"/>
        </w:numPr>
        <w:spacing w:before="0" w:after="0"/>
      </w:pPr>
      <w:r w:rsidRPr="00F5076D">
        <w:t>Career Development and Employability Skills</w:t>
      </w:r>
      <w:r w:rsidR="00F5076D" w:rsidRPr="00F5076D">
        <w:t>, including Digital Literacy Skills</w:t>
      </w:r>
    </w:p>
    <w:p w:rsidR="00F5076D" w:rsidRPr="00F5076D" w:rsidRDefault="00F5076D" w:rsidP="00BF0344">
      <w:pPr>
        <w:pStyle w:val="List"/>
        <w:numPr>
          <w:ilvl w:val="0"/>
          <w:numId w:val="39"/>
        </w:numPr>
        <w:spacing w:before="0" w:after="0"/>
      </w:pPr>
      <w:r w:rsidRPr="00F5076D">
        <w:t>Social Studies</w:t>
      </w:r>
    </w:p>
    <w:p w:rsidR="00F5076D" w:rsidRPr="00F5076D" w:rsidRDefault="00F5076D" w:rsidP="00BF0344">
      <w:pPr>
        <w:pStyle w:val="List"/>
        <w:numPr>
          <w:ilvl w:val="0"/>
          <w:numId w:val="39"/>
        </w:numPr>
        <w:spacing w:before="0" w:after="0"/>
      </w:pPr>
      <w:r w:rsidRPr="00F5076D">
        <w:t>Science</w:t>
      </w:r>
    </w:p>
    <w:p w:rsidR="00801A07" w:rsidRPr="00066EC8" w:rsidRDefault="00066EC8" w:rsidP="00691C19">
      <w:pPr>
        <w:pStyle w:val="Heading2"/>
        <w:spacing w:after="0"/>
        <w:rPr>
          <w:color w:val="76923C" w:themeColor="accent3" w:themeShade="BF"/>
        </w:rPr>
      </w:pPr>
      <w:r>
        <w:rPr>
          <w:color w:val="76923C" w:themeColor="accent3" w:themeShade="BF"/>
        </w:rPr>
        <w:lastRenderedPageBreak/>
        <w:t>Guiding adult students to success through advising, instruction &amp; evaluation</w:t>
      </w:r>
    </w:p>
    <w:p w:rsidR="00801A07" w:rsidRPr="00DC78B0" w:rsidRDefault="00801A07" w:rsidP="00C37C4B">
      <w:pPr>
        <w:shd w:val="clear" w:color="auto" w:fill="C00000"/>
        <w:spacing w:before="0" w:after="0"/>
        <w:rPr>
          <w:b/>
          <w:color w:val="FFFFFF" w:themeColor="background1"/>
        </w:rPr>
      </w:pPr>
      <w:r w:rsidRPr="00DC78B0">
        <w:rPr>
          <w:b/>
          <w:color w:val="FFFFFF" w:themeColor="background1"/>
        </w:rPr>
        <w:t xml:space="preserve">Initial </w:t>
      </w:r>
      <w:r w:rsidR="00066EC8">
        <w:rPr>
          <w:b/>
          <w:color w:val="FFFFFF" w:themeColor="background1"/>
        </w:rPr>
        <w:t>Advis</w:t>
      </w:r>
      <w:r w:rsidRPr="00DC78B0">
        <w:rPr>
          <w:b/>
          <w:color w:val="FFFFFF" w:themeColor="background1"/>
        </w:rPr>
        <w:t>ing Session</w:t>
      </w:r>
    </w:p>
    <w:p w:rsidR="00801A07" w:rsidRDefault="00801A07" w:rsidP="008D3FC2">
      <w:pPr>
        <w:pStyle w:val="ListParagraph"/>
        <w:spacing w:after="0"/>
      </w:pPr>
      <w:r>
        <w:t>Identify student goals</w:t>
      </w:r>
    </w:p>
    <w:p w:rsidR="00801A07" w:rsidRPr="003C034E" w:rsidRDefault="00801A07" w:rsidP="008D3FC2">
      <w:pPr>
        <w:pStyle w:val="ListParagraph"/>
        <w:spacing w:after="0"/>
      </w:pPr>
      <w:r>
        <w:t>Assess student skills and experience to determine what competencies that may already be complete for the transcript based on prior learning competency verification</w:t>
      </w:r>
    </w:p>
    <w:p w:rsidR="00801A07" w:rsidRPr="00871226" w:rsidRDefault="00801A07" w:rsidP="008D3FC2">
      <w:pPr>
        <w:pStyle w:val="ListParagraph"/>
        <w:spacing w:after="0"/>
      </w:pPr>
      <w:r>
        <w:t>Identify potential career pathway(s) and needs using career and postsecondary preparation assessments, similar to assessments used in Minnesota’s K-12 system</w:t>
      </w:r>
    </w:p>
    <w:p w:rsidR="00801A07" w:rsidRDefault="00801A07" w:rsidP="008D3FC2">
      <w:pPr>
        <w:pStyle w:val="ListParagraph"/>
        <w:spacing w:after="0"/>
      </w:pPr>
      <w:r>
        <w:t>Develop an individualized learning plan based on the student’ identified goals and skills</w:t>
      </w:r>
    </w:p>
    <w:p w:rsidR="00F5076D" w:rsidRPr="00F5076D" w:rsidRDefault="00F5076D" w:rsidP="008D3FC2">
      <w:pPr>
        <w:pStyle w:val="List"/>
        <w:spacing w:before="0" w:after="0"/>
      </w:pPr>
    </w:p>
    <w:p w:rsidR="00801A07" w:rsidRPr="00DC78B0" w:rsidRDefault="00801A07" w:rsidP="00C37C4B">
      <w:pPr>
        <w:pStyle w:val="List"/>
        <w:shd w:val="clear" w:color="auto" w:fill="C00000"/>
        <w:spacing w:before="0" w:after="0"/>
        <w:rPr>
          <w:b/>
          <w:color w:val="FFFFFF" w:themeColor="background1"/>
        </w:rPr>
      </w:pPr>
      <w:r w:rsidRPr="00DC78B0">
        <w:rPr>
          <w:b/>
          <w:color w:val="FFFFFF" w:themeColor="background1"/>
        </w:rPr>
        <w:t>Instruction and Evaluation</w:t>
      </w:r>
    </w:p>
    <w:p w:rsidR="00801A07" w:rsidRDefault="00801A07" w:rsidP="00F5076D">
      <w:pPr>
        <w:pStyle w:val="List"/>
        <w:numPr>
          <w:ilvl w:val="0"/>
          <w:numId w:val="32"/>
        </w:numPr>
        <w:spacing w:before="0" w:after="0"/>
      </w:pPr>
      <w:r>
        <w:t>Implement individualized learning plan based on instruction and preparation on the competency domains.</w:t>
      </w:r>
    </w:p>
    <w:p w:rsidR="00801A07" w:rsidRPr="002F00F0" w:rsidRDefault="00801A07" w:rsidP="00F5076D">
      <w:pPr>
        <w:pStyle w:val="List"/>
        <w:numPr>
          <w:ilvl w:val="0"/>
          <w:numId w:val="32"/>
        </w:numPr>
        <w:spacing w:before="0" w:after="0"/>
      </w:pPr>
      <w:r w:rsidRPr="002F00F0">
        <w:t>Post-test learners</w:t>
      </w:r>
      <w:r>
        <w:t xml:space="preserve"> using approved assessments for Minnesota’s ABE programming</w:t>
      </w:r>
    </w:p>
    <w:p w:rsidR="00801A07" w:rsidRDefault="00801A07" w:rsidP="00F5076D">
      <w:pPr>
        <w:pStyle w:val="List"/>
        <w:numPr>
          <w:ilvl w:val="0"/>
          <w:numId w:val="32"/>
        </w:numPr>
        <w:spacing w:before="0" w:after="0"/>
      </w:pPr>
      <w:r w:rsidRPr="002F00F0">
        <w:t>Track progress towards diploma and goals</w:t>
      </w:r>
    </w:p>
    <w:p w:rsidR="00DC78B0" w:rsidRPr="002F00F0" w:rsidRDefault="00DC78B0" w:rsidP="00F5076D">
      <w:pPr>
        <w:pStyle w:val="List"/>
        <w:numPr>
          <w:ilvl w:val="0"/>
          <w:numId w:val="32"/>
        </w:numPr>
        <w:spacing w:before="0" w:after="0"/>
      </w:pPr>
      <w:r>
        <w:t>Update and adapt individualized learning plan</w:t>
      </w:r>
    </w:p>
    <w:p w:rsidR="00801A07" w:rsidRDefault="00801A07" w:rsidP="00F5076D">
      <w:pPr>
        <w:pStyle w:val="List"/>
        <w:numPr>
          <w:ilvl w:val="0"/>
          <w:numId w:val="32"/>
        </w:numPr>
        <w:spacing w:before="0" w:after="0"/>
      </w:pPr>
      <w:r w:rsidRPr="002F00F0">
        <w:t>Prov</w:t>
      </w:r>
      <w:r w:rsidR="00DC78B0">
        <w:t>ide additional support services</w:t>
      </w:r>
    </w:p>
    <w:p w:rsidR="00DC78B0" w:rsidRDefault="00DC78B0" w:rsidP="00F5076D">
      <w:pPr>
        <w:pStyle w:val="List"/>
        <w:spacing w:before="0" w:after="0"/>
      </w:pPr>
    </w:p>
    <w:p w:rsidR="00801A07" w:rsidRPr="00DC78B0" w:rsidRDefault="00801A07" w:rsidP="00C37C4B">
      <w:pPr>
        <w:pStyle w:val="List"/>
        <w:shd w:val="clear" w:color="auto" w:fill="C00000"/>
        <w:spacing w:before="0" w:after="0"/>
        <w:ind w:left="0" w:firstLine="0"/>
        <w:rPr>
          <w:color w:val="FFFFFF" w:themeColor="background1"/>
        </w:rPr>
      </w:pPr>
      <w:r w:rsidRPr="00DC78B0">
        <w:rPr>
          <w:b/>
          <w:color w:val="FFFFFF" w:themeColor="background1"/>
        </w:rPr>
        <w:t xml:space="preserve">Graduating </w:t>
      </w:r>
      <w:r w:rsidR="00066EC8">
        <w:rPr>
          <w:b/>
          <w:color w:val="FFFFFF" w:themeColor="background1"/>
        </w:rPr>
        <w:t>Advis</w:t>
      </w:r>
      <w:r w:rsidRPr="00DC78B0">
        <w:rPr>
          <w:b/>
          <w:color w:val="FFFFFF" w:themeColor="background1"/>
        </w:rPr>
        <w:t>ing Session</w:t>
      </w:r>
    </w:p>
    <w:p w:rsidR="00801A07" w:rsidRDefault="00801A07" w:rsidP="00F5076D">
      <w:pPr>
        <w:pStyle w:val="List"/>
        <w:numPr>
          <w:ilvl w:val="0"/>
          <w:numId w:val="28"/>
        </w:numPr>
        <w:spacing w:before="0" w:after="0"/>
      </w:pPr>
      <w:r>
        <w:t>Evaluate students’ work in Adult Diploma Program to ensure completion of necessary competencies</w:t>
      </w:r>
    </w:p>
    <w:p w:rsidR="00801A07" w:rsidRPr="00871226" w:rsidRDefault="00801A07" w:rsidP="00F5076D">
      <w:pPr>
        <w:pStyle w:val="List"/>
        <w:numPr>
          <w:ilvl w:val="0"/>
          <w:numId w:val="28"/>
        </w:numPr>
        <w:spacing w:before="0" w:after="0"/>
      </w:pPr>
      <w:r>
        <w:t>Create transitions plan to students’ future goals</w:t>
      </w:r>
    </w:p>
    <w:p w:rsidR="00801A07" w:rsidRPr="00066EC8" w:rsidRDefault="00066EC8" w:rsidP="00691C19">
      <w:pPr>
        <w:pStyle w:val="Heading2"/>
        <w:spacing w:after="0"/>
        <w:rPr>
          <w:color w:val="76923C" w:themeColor="accent3" w:themeShade="BF"/>
        </w:rPr>
      </w:pPr>
      <w:r>
        <w:rPr>
          <w:color w:val="76923C" w:themeColor="accent3" w:themeShade="BF"/>
        </w:rPr>
        <w:t>Adult students demonstrate their skills</w:t>
      </w:r>
    </w:p>
    <w:p w:rsidR="00801A07" w:rsidRDefault="00801A07" w:rsidP="00691C19">
      <w:pPr>
        <w:spacing w:before="0"/>
      </w:pPr>
      <w:r>
        <w:t xml:space="preserve">Adult </w:t>
      </w:r>
      <w:r w:rsidR="008D3FC2">
        <w:t>d</w:t>
      </w:r>
      <w:r>
        <w:t>iploma students may successfully complete each competency through one of the following ways:</w:t>
      </w:r>
    </w:p>
    <w:p w:rsidR="00801A07" w:rsidRPr="0097072D" w:rsidRDefault="00801A07" w:rsidP="008D3FC2">
      <w:pPr>
        <w:pStyle w:val="ListParagraph"/>
        <w:numPr>
          <w:ilvl w:val="0"/>
          <w:numId w:val="25"/>
        </w:numPr>
      </w:pPr>
      <w:r w:rsidRPr="00BF0344">
        <w:rPr>
          <w:b/>
          <w:color w:val="C00000"/>
        </w:rPr>
        <w:t>Prior Experience-Based</w:t>
      </w:r>
      <w:r w:rsidRPr="00BF0344">
        <w:rPr>
          <w:color w:val="C00000"/>
        </w:rPr>
        <w:t xml:space="preserve"> </w:t>
      </w:r>
      <w:r w:rsidRPr="00BF0344">
        <w:rPr>
          <w:b/>
          <w:color w:val="C00000"/>
        </w:rPr>
        <w:t>Competency Verification</w:t>
      </w:r>
      <w:r w:rsidRPr="00BF0344">
        <w:rPr>
          <w:color w:val="C00000"/>
        </w:rPr>
        <w:t xml:space="preserve"> </w:t>
      </w:r>
      <w:r>
        <w:t>(K-12, postsecondary</w:t>
      </w:r>
      <w:r w:rsidR="00BF0344">
        <w:t xml:space="preserve"> or other </w:t>
      </w:r>
      <w:r>
        <w:t>experience</w:t>
      </w:r>
      <w:r w:rsidR="00BF0344">
        <w:t>s</w:t>
      </w:r>
      <w:r>
        <w:t>)</w:t>
      </w:r>
    </w:p>
    <w:p w:rsidR="00801A07" w:rsidRDefault="00801A07" w:rsidP="008D3FC2">
      <w:pPr>
        <w:pStyle w:val="ListParagraph"/>
        <w:numPr>
          <w:ilvl w:val="0"/>
          <w:numId w:val="25"/>
        </w:numPr>
      </w:pPr>
      <w:r w:rsidRPr="00BF0344">
        <w:rPr>
          <w:b/>
          <w:color w:val="C00000"/>
        </w:rPr>
        <w:t>Test-Verified Knowledge</w:t>
      </w:r>
      <w:r>
        <w:t xml:space="preserve"> (</w:t>
      </w:r>
      <w:r w:rsidR="00BF0344">
        <w:t xml:space="preserve">approved </w:t>
      </w:r>
      <w:r>
        <w:t>standardized assessment for high schools, secondary credentials, ABE programs and/or postsecondary entrance exams)</w:t>
      </w:r>
    </w:p>
    <w:p w:rsidR="00801A07" w:rsidRPr="00401F82" w:rsidRDefault="00801A07" w:rsidP="008D3FC2">
      <w:pPr>
        <w:pStyle w:val="ListParagraph"/>
        <w:numPr>
          <w:ilvl w:val="0"/>
          <w:numId w:val="25"/>
        </w:numPr>
      </w:pPr>
      <w:r w:rsidRPr="00BF0344">
        <w:rPr>
          <w:b/>
          <w:color w:val="C00000"/>
        </w:rPr>
        <w:t>ABE Course</w:t>
      </w:r>
      <w:r w:rsidR="00DC5C32">
        <w:rPr>
          <w:b/>
          <w:color w:val="C00000"/>
        </w:rPr>
        <w:t xml:space="preserve"> Demonstration</w:t>
      </w:r>
      <w:r w:rsidRPr="00BF0344">
        <w:rPr>
          <w:b/>
          <w:color w:val="C00000"/>
        </w:rPr>
        <w:t xml:space="preserve"> </w:t>
      </w:r>
      <w:r>
        <w:t xml:space="preserve">(classes that combine academic, college and career content, like special adult diploma classes, GED preparation, </w:t>
      </w:r>
      <w:proofErr w:type="spellStart"/>
      <w:r>
        <w:t>Accuplacer</w:t>
      </w:r>
      <w:proofErr w:type="spellEnd"/>
      <w:r>
        <w:t xml:space="preserve"> classes, college readiness classes, subject-specific classes, </w:t>
      </w:r>
      <w:proofErr w:type="spellStart"/>
      <w:r>
        <w:t>FastTRAC</w:t>
      </w:r>
      <w:proofErr w:type="spellEnd"/>
      <w:r>
        <w:t xml:space="preserve"> programming, etc.)</w:t>
      </w:r>
    </w:p>
    <w:p w:rsidR="00801A07" w:rsidRDefault="00801A07" w:rsidP="008D3FC2">
      <w:pPr>
        <w:pStyle w:val="ListParagraph"/>
        <w:numPr>
          <w:ilvl w:val="0"/>
          <w:numId w:val="25"/>
        </w:numPr>
      </w:pPr>
      <w:r w:rsidRPr="00BF0344">
        <w:rPr>
          <w:b/>
          <w:color w:val="C00000"/>
        </w:rPr>
        <w:t xml:space="preserve">Applied </w:t>
      </w:r>
      <w:r w:rsidR="00BF0344">
        <w:rPr>
          <w:b/>
          <w:color w:val="C00000"/>
        </w:rPr>
        <w:t xml:space="preserve">and Experiential </w:t>
      </w:r>
      <w:r w:rsidRPr="00BF0344">
        <w:rPr>
          <w:b/>
          <w:color w:val="C00000"/>
        </w:rPr>
        <w:t>Learning</w:t>
      </w:r>
      <w:r w:rsidRPr="00BF0344">
        <w:rPr>
          <w:color w:val="C00000"/>
        </w:rPr>
        <w:t xml:space="preserve"> </w:t>
      </w:r>
      <w:r>
        <w:t>(through a</w:t>
      </w:r>
      <w:r w:rsidR="00BF0344">
        <w:t>n approved</w:t>
      </w:r>
      <w:r>
        <w:t xml:space="preserve"> project</w:t>
      </w:r>
      <w:r w:rsidR="00BF0344">
        <w:t>, like</w:t>
      </w:r>
      <w:r>
        <w:t xml:space="preserve"> </w:t>
      </w:r>
      <w:r w:rsidR="00BF0344">
        <w:t>the</w:t>
      </w:r>
      <w:r>
        <w:t xml:space="preserve"> National External Diploma Program.)</w:t>
      </w:r>
    </w:p>
    <w:p w:rsidR="00691C19" w:rsidRPr="008D3FC2" w:rsidRDefault="00066EC8" w:rsidP="00691C19">
      <w:pPr>
        <w:pStyle w:val="Heading2"/>
        <w:spacing w:after="0"/>
        <w:rPr>
          <w:color w:val="9BBB59" w:themeColor="accent3"/>
        </w:rPr>
      </w:pPr>
      <w:r>
        <w:rPr>
          <w:color w:val="76923C" w:themeColor="accent3" w:themeShade="BF"/>
        </w:rPr>
        <w:t>M</w:t>
      </w:r>
      <w:r w:rsidR="00691C19" w:rsidRPr="00066EC8">
        <w:rPr>
          <w:color w:val="76923C" w:themeColor="accent3" w:themeShade="BF"/>
        </w:rPr>
        <w:t>aking the State Adult Diploma available across Minnesota</w:t>
      </w:r>
    </w:p>
    <w:tbl>
      <w:tblPr>
        <w:tblStyle w:val="TableGrid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  <w:tblCaption w:val="Phases"/>
        <w:tblDescription w:val="Initial development from May-October 2014; pilot phase from November 2014-June 2015; full launch after July 2015."/>
      </w:tblPr>
      <w:tblGrid>
        <w:gridCol w:w="2340"/>
        <w:gridCol w:w="3060"/>
      </w:tblGrid>
      <w:tr w:rsidR="00691C19" w:rsidTr="00915496">
        <w:trPr>
          <w:tblHeader/>
        </w:trPr>
        <w:tc>
          <w:tcPr>
            <w:tcW w:w="2340" w:type="dxa"/>
            <w:shd w:val="clear" w:color="auto" w:fill="F2DBDB" w:themeFill="accent2" w:themeFillTint="33"/>
          </w:tcPr>
          <w:p w:rsidR="00691C19" w:rsidRPr="00691C19" w:rsidRDefault="00691C19" w:rsidP="00BE0333">
            <w:pPr>
              <w:rPr>
                <w:b/>
              </w:rPr>
            </w:pPr>
            <w:r w:rsidRPr="00691C19">
              <w:rPr>
                <w:b/>
              </w:rPr>
              <w:t>Initial Development</w:t>
            </w:r>
          </w:p>
        </w:tc>
        <w:tc>
          <w:tcPr>
            <w:tcW w:w="3060" w:type="dxa"/>
          </w:tcPr>
          <w:p w:rsidR="00691C19" w:rsidRPr="00691C19" w:rsidRDefault="00691C19" w:rsidP="00BE0333">
            <w:pPr>
              <w:rPr>
                <w:i/>
              </w:rPr>
            </w:pPr>
            <w:r w:rsidRPr="00691C19">
              <w:rPr>
                <w:i/>
              </w:rPr>
              <w:t>May-October 2014</w:t>
            </w:r>
          </w:p>
        </w:tc>
      </w:tr>
      <w:tr w:rsidR="00691C19" w:rsidTr="00BE0333">
        <w:tc>
          <w:tcPr>
            <w:tcW w:w="2340" w:type="dxa"/>
            <w:shd w:val="clear" w:color="auto" w:fill="F2DBDB" w:themeFill="accent2" w:themeFillTint="33"/>
          </w:tcPr>
          <w:p w:rsidR="00691C19" w:rsidRPr="00691C19" w:rsidRDefault="00691C19" w:rsidP="00BE0333">
            <w:pPr>
              <w:rPr>
                <w:b/>
              </w:rPr>
            </w:pPr>
            <w:r w:rsidRPr="00691C19">
              <w:rPr>
                <w:b/>
              </w:rPr>
              <w:t>Pilot Phase One</w:t>
            </w:r>
          </w:p>
        </w:tc>
        <w:tc>
          <w:tcPr>
            <w:tcW w:w="3060" w:type="dxa"/>
          </w:tcPr>
          <w:p w:rsidR="00691C19" w:rsidRPr="00691C19" w:rsidRDefault="00691C19" w:rsidP="00BE0333">
            <w:pPr>
              <w:rPr>
                <w:i/>
              </w:rPr>
            </w:pPr>
            <w:r w:rsidRPr="00691C19">
              <w:rPr>
                <w:i/>
              </w:rPr>
              <w:t>November 2014-June 2015</w:t>
            </w:r>
          </w:p>
        </w:tc>
      </w:tr>
      <w:tr w:rsidR="00691C19" w:rsidTr="00BE0333">
        <w:tc>
          <w:tcPr>
            <w:tcW w:w="2340" w:type="dxa"/>
            <w:shd w:val="clear" w:color="auto" w:fill="F2DBDB" w:themeFill="accent2" w:themeFillTint="33"/>
          </w:tcPr>
          <w:p w:rsidR="00691C19" w:rsidRPr="00691C19" w:rsidRDefault="004E211B" w:rsidP="00BE0333">
            <w:pPr>
              <w:rPr>
                <w:b/>
              </w:rPr>
            </w:pPr>
            <w:r>
              <w:rPr>
                <w:b/>
              </w:rPr>
              <w:t>Pilot Phase Two</w:t>
            </w:r>
          </w:p>
        </w:tc>
        <w:tc>
          <w:tcPr>
            <w:tcW w:w="3060" w:type="dxa"/>
          </w:tcPr>
          <w:p w:rsidR="00691C19" w:rsidRPr="00691C19" w:rsidRDefault="00691C19" w:rsidP="004E211B">
            <w:pPr>
              <w:rPr>
                <w:i/>
              </w:rPr>
            </w:pPr>
            <w:r w:rsidRPr="00691C19">
              <w:rPr>
                <w:i/>
              </w:rPr>
              <w:t>July 2015-</w:t>
            </w:r>
            <w:r w:rsidR="004E211B">
              <w:rPr>
                <w:i/>
              </w:rPr>
              <w:t>December 2016</w:t>
            </w:r>
          </w:p>
        </w:tc>
      </w:tr>
    </w:tbl>
    <w:p w:rsidR="00691C19" w:rsidRPr="00066EC8" w:rsidRDefault="00066EC8" w:rsidP="00691C19">
      <w:pPr>
        <w:pStyle w:val="Heading2"/>
        <w:spacing w:after="0"/>
        <w:rPr>
          <w:color w:val="76923C" w:themeColor="accent3" w:themeShade="BF"/>
        </w:rPr>
      </w:pPr>
      <w:r w:rsidRPr="00066EC8">
        <w:rPr>
          <w:color w:val="76923C" w:themeColor="accent3" w:themeShade="BF"/>
        </w:rPr>
        <w:t>Collaboratively l</w:t>
      </w:r>
      <w:r w:rsidR="00691C19" w:rsidRPr="00066EC8">
        <w:rPr>
          <w:color w:val="76923C" w:themeColor="accent3" w:themeShade="BF"/>
        </w:rPr>
        <w:t>eading implementation</w:t>
      </w:r>
    </w:p>
    <w:p w:rsidR="00691C19" w:rsidRPr="00DA3F4D" w:rsidRDefault="00691C19" w:rsidP="00691C19">
      <w:pPr>
        <w:spacing w:before="0"/>
      </w:pPr>
      <w:r>
        <w:t xml:space="preserve">Primary entities developing the state adult diploma and aiding local implementation with approved Adult Basic Education (ABE) consortia include the </w:t>
      </w:r>
      <w:r w:rsidRPr="008D3FC2">
        <w:rPr>
          <w:b/>
        </w:rPr>
        <w:t>Minnesota Department of Education</w:t>
      </w:r>
      <w:r>
        <w:t xml:space="preserve">, an </w:t>
      </w:r>
      <w:r w:rsidRPr="008D3FC2">
        <w:rPr>
          <w:b/>
        </w:rPr>
        <w:t>adult diploma working group</w:t>
      </w:r>
      <w:r>
        <w:t xml:space="preserve"> and a new </w:t>
      </w:r>
      <w:r w:rsidRPr="008D3FC2">
        <w:rPr>
          <w:b/>
        </w:rPr>
        <w:t>consultation team</w:t>
      </w:r>
      <w:r>
        <w:t>.</w:t>
      </w:r>
    </w:p>
    <w:p w:rsidR="00F5076D" w:rsidRPr="00066EC8" w:rsidRDefault="00691C19" w:rsidP="00691C19">
      <w:pPr>
        <w:pStyle w:val="Heading2"/>
        <w:spacing w:after="0"/>
        <w:rPr>
          <w:color w:val="76923C" w:themeColor="accent3" w:themeShade="BF"/>
        </w:rPr>
      </w:pPr>
      <w:r w:rsidRPr="00066EC8">
        <w:rPr>
          <w:color w:val="76923C" w:themeColor="accent3" w:themeShade="BF"/>
        </w:rPr>
        <w:t xml:space="preserve">Where </w:t>
      </w:r>
      <w:r w:rsidR="007D0515">
        <w:rPr>
          <w:color w:val="76923C" w:themeColor="accent3" w:themeShade="BF"/>
        </w:rPr>
        <w:t>to find</w:t>
      </w:r>
      <w:r w:rsidRPr="00066EC8">
        <w:rPr>
          <w:color w:val="76923C" w:themeColor="accent3" w:themeShade="BF"/>
        </w:rPr>
        <w:t xml:space="preserve"> m</w:t>
      </w:r>
      <w:r w:rsidR="00F5076D" w:rsidRPr="00066EC8">
        <w:rPr>
          <w:color w:val="76923C" w:themeColor="accent3" w:themeShade="BF"/>
        </w:rPr>
        <w:t xml:space="preserve">ore </w:t>
      </w:r>
      <w:r w:rsidRPr="00066EC8">
        <w:rPr>
          <w:color w:val="76923C" w:themeColor="accent3" w:themeShade="BF"/>
        </w:rPr>
        <w:t>i</w:t>
      </w:r>
      <w:r w:rsidR="00F5076D" w:rsidRPr="00066EC8">
        <w:rPr>
          <w:color w:val="76923C" w:themeColor="accent3" w:themeShade="BF"/>
        </w:rPr>
        <w:t>nformation</w:t>
      </w:r>
    </w:p>
    <w:p w:rsidR="00F5076D" w:rsidRDefault="00F5076D" w:rsidP="00BF0344">
      <w:pPr>
        <w:pStyle w:val="List"/>
        <w:numPr>
          <w:ilvl w:val="0"/>
          <w:numId w:val="35"/>
        </w:numPr>
        <w:spacing w:before="0" w:after="0"/>
      </w:pPr>
      <w:r>
        <w:t>Read Minnesota State Statute 12</w:t>
      </w:r>
      <w:r w:rsidR="00266741">
        <w:t>4</w:t>
      </w:r>
      <w:r>
        <w:t>D.52 (</w:t>
      </w:r>
      <w:proofErr w:type="spellStart"/>
      <w:r>
        <w:t>Subd</w:t>
      </w:r>
      <w:proofErr w:type="spellEnd"/>
      <w:r w:rsidR="00BF0344">
        <w:t>.</w:t>
      </w:r>
      <w:r>
        <w:t xml:space="preserve"> 8-9)</w:t>
      </w:r>
    </w:p>
    <w:p w:rsidR="005A367B" w:rsidRDefault="00F5076D" w:rsidP="00BF0344">
      <w:pPr>
        <w:pStyle w:val="List"/>
        <w:numPr>
          <w:ilvl w:val="0"/>
          <w:numId w:val="35"/>
        </w:numPr>
        <w:spacing w:before="0" w:after="0"/>
      </w:pPr>
      <w:r>
        <w:t xml:space="preserve">Contact Brad Hasskamp at </w:t>
      </w:r>
      <w:hyperlink r:id="rId10" w:history="1">
        <w:r w:rsidRPr="001C466D">
          <w:rPr>
            <w:rStyle w:val="Hyperlink"/>
          </w:rPr>
          <w:t>brad.hasskamp@state.mn.us</w:t>
        </w:r>
      </w:hyperlink>
      <w:r>
        <w:t xml:space="preserve"> or (651) 582-8594</w:t>
      </w:r>
    </w:p>
    <w:p w:rsidR="005A367B" w:rsidRPr="005A367B" w:rsidRDefault="005A367B" w:rsidP="005A367B">
      <w:pPr>
        <w:pStyle w:val="Heading1"/>
        <w:rPr>
          <w:color w:val="76923C" w:themeColor="accent3" w:themeShade="BF"/>
        </w:rPr>
      </w:pPr>
      <w:r>
        <w:br w:type="page"/>
      </w:r>
      <w:bookmarkStart w:id="0" w:name="_Toc402981005"/>
      <w:r w:rsidRPr="005A367B">
        <w:rPr>
          <w:color w:val="76923C" w:themeColor="accent3" w:themeShade="BF"/>
        </w:rPr>
        <w:lastRenderedPageBreak/>
        <w:t xml:space="preserve">New State Adult Diploma Pilot </w:t>
      </w:r>
      <w:r>
        <w:rPr>
          <w:color w:val="76923C" w:themeColor="accent3" w:themeShade="BF"/>
        </w:rPr>
        <w:t>Programs</w:t>
      </w:r>
    </w:p>
    <w:p w:rsidR="005A367B" w:rsidRDefault="005A367B" w:rsidP="005A367B">
      <w:pPr>
        <w:pStyle w:val="Heading1"/>
      </w:pPr>
      <w:r w:rsidRPr="00FF50EB">
        <w:rPr>
          <w:b w:val="0"/>
          <w:sz w:val="24"/>
        </w:rPr>
        <w:t>13 consortia applications were accepted and selected to pilot the new state stand</w:t>
      </w:r>
      <w:r>
        <w:rPr>
          <w:b w:val="0"/>
          <w:sz w:val="24"/>
        </w:rPr>
        <w:t>ard adult high school diploma.</w:t>
      </w:r>
    </w:p>
    <w:p w:rsidR="005A367B" w:rsidRPr="00B148F9" w:rsidRDefault="005A367B" w:rsidP="005A367B">
      <w:pPr>
        <w:pStyle w:val="ListParagraph"/>
        <w:numPr>
          <w:ilvl w:val="0"/>
          <w:numId w:val="42"/>
        </w:numPr>
        <w:spacing w:after="0"/>
        <w:ind w:right="-18"/>
        <w:rPr>
          <w:sz w:val="24"/>
        </w:rPr>
      </w:pPr>
      <w:r w:rsidRPr="00B148F9">
        <w:rPr>
          <w:sz w:val="24"/>
        </w:rPr>
        <w:t>Cass Lake-</w:t>
      </w:r>
      <w:proofErr w:type="spellStart"/>
      <w:r w:rsidRPr="00B148F9">
        <w:rPr>
          <w:sz w:val="24"/>
        </w:rPr>
        <w:t>Bena</w:t>
      </w:r>
      <w:proofErr w:type="spellEnd"/>
      <w:r w:rsidRPr="00B148F9">
        <w:rPr>
          <w:sz w:val="24"/>
        </w:rPr>
        <w:t>-Walker ABE</w:t>
      </w:r>
    </w:p>
    <w:p w:rsidR="005A367B" w:rsidRPr="00B148F9" w:rsidRDefault="005A367B" w:rsidP="005A367B">
      <w:pPr>
        <w:pStyle w:val="ListParagraph"/>
        <w:numPr>
          <w:ilvl w:val="0"/>
          <w:numId w:val="42"/>
        </w:numPr>
        <w:spacing w:after="0"/>
        <w:ind w:right="-18"/>
        <w:rPr>
          <w:sz w:val="24"/>
        </w:rPr>
      </w:pPr>
      <w:r w:rsidRPr="00B148F9">
        <w:rPr>
          <w:sz w:val="24"/>
        </w:rPr>
        <w:t>Central Minnesota ABE (St. Cloud)</w:t>
      </w:r>
    </w:p>
    <w:p w:rsidR="005A367B" w:rsidRPr="00B148F9" w:rsidRDefault="005A367B" w:rsidP="005A367B">
      <w:pPr>
        <w:pStyle w:val="ListParagraph"/>
        <w:numPr>
          <w:ilvl w:val="0"/>
          <w:numId w:val="42"/>
        </w:numPr>
        <w:spacing w:after="0"/>
        <w:ind w:right="-18"/>
        <w:rPr>
          <w:sz w:val="24"/>
        </w:rPr>
      </w:pPr>
      <w:r w:rsidRPr="00B148F9">
        <w:rPr>
          <w:sz w:val="24"/>
        </w:rPr>
        <w:t>Department of Corrections (St. Cloud and Faribault facilities)</w:t>
      </w:r>
    </w:p>
    <w:p w:rsidR="005A367B" w:rsidRPr="00B148F9" w:rsidRDefault="005A367B" w:rsidP="005A367B">
      <w:pPr>
        <w:pStyle w:val="ListParagraph"/>
        <w:numPr>
          <w:ilvl w:val="0"/>
          <w:numId w:val="42"/>
        </w:numPr>
        <w:spacing w:after="0"/>
        <w:ind w:right="-18"/>
        <w:rPr>
          <w:sz w:val="24"/>
        </w:rPr>
      </w:pPr>
      <w:r w:rsidRPr="00B148F9">
        <w:rPr>
          <w:sz w:val="24"/>
        </w:rPr>
        <w:t>Hiawatha Valley ABE (Red Wing)</w:t>
      </w:r>
    </w:p>
    <w:p w:rsidR="005A367B" w:rsidRPr="00B148F9" w:rsidRDefault="005A367B" w:rsidP="005A367B">
      <w:pPr>
        <w:pStyle w:val="ListParagraph"/>
        <w:numPr>
          <w:ilvl w:val="0"/>
          <w:numId w:val="42"/>
        </w:numPr>
        <w:spacing w:after="0"/>
        <w:ind w:right="-18"/>
        <w:rPr>
          <w:sz w:val="24"/>
        </w:rPr>
      </w:pPr>
      <w:r w:rsidRPr="00B148F9">
        <w:rPr>
          <w:sz w:val="24"/>
        </w:rPr>
        <w:t>Lakeville ABE</w:t>
      </w:r>
    </w:p>
    <w:p w:rsidR="005A367B" w:rsidRPr="00B148F9" w:rsidRDefault="005A367B" w:rsidP="005A367B">
      <w:pPr>
        <w:pStyle w:val="ListParagraph"/>
        <w:numPr>
          <w:ilvl w:val="0"/>
          <w:numId w:val="42"/>
        </w:numPr>
        <w:spacing w:after="0"/>
        <w:ind w:right="-18"/>
        <w:rPr>
          <w:sz w:val="24"/>
        </w:rPr>
      </w:pPr>
      <w:r w:rsidRPr="00B148F9">
        <w:rPr>
          <w:sz w:val="24"/>
        </w:rPr>
        <w:t>Metro North ABE (Blaine)</w:t>
      </w:r>
    </w:p>
    <w:p w:rsidR="005A367B" w:rsidRPr="00B148F9" w:rsidRDefault="005A367B" w:rsidP="005A367B">
      <w:pPr>
        <w:pStyle w:val="ListParagraph"/>
        <w:numPr>
          <w:ilvl w:val="0"/>
          <w:numId w:val="42"/>
        </w:numPr>
        <w:spacing w:after="0"/>
        <w:ind w:right="-18"/>
        <w:rPr>
          <w:sz w:val="24"/>
        </w:rPr>
      </w:pPr>
      <w:r w:rsidRPr="00B148F9">
        <w:rPr>
          <w:sz w:val="24"/>
        </w:rPr>
        <w:t>Minneapolis Adult Education (Volunteers of America)</w:t>
      </w:r>
    </w:p>
    <w:p w:rsidR="005A367B" w:rsidRPr="00B148F9" w:rsidRDefault="005A367B" w:rsidP="005A367B">
      <w:pPr>
        <w:pStyle w:val="ListParagraph"/>
        <w:numPr>
          <w:ilvl w:val="0"/>
          <w:numId w:val="42"/>
        </w:numPr>
        <w:spacing w:after="0"/>
        <w:ind w:right="-18"/>
        <w:rPr>
          <w:sz w:val="24"/>
        </w:rPr>
      </w:pPr>
      <w:r w:rsidRPr="00B148F9">
        <w:rPr>
          <w:sz w:val="24"/>
        </w:rPr>
        <w:t>Osseo ABE</w:t>
      </w:r>
    </w:p>
    <w:p w:rsidR="005A367B" w:rsidRPr="00B148F9" w:rsidRDefault="005A367B" w:rsidP="005A367B">
      <w:pPr>
        <w:pStyle w:val="ListParagraph"/>
        <w:numPr>
          <w:ilvl w:val="0"/>
          <w:numId w:val="42"/>
        </w:numPr>
        <w:spacing w:after="0"/>
        <w:ind w:right="-18"/>
        <w:rPr>
          <w:sz w:val="24"/>
        </w:rPr>
      </w:pPr>
      <w:r w:rsidRPr="00B148F9">
        <w:rPr>
          <w:sz w:val="24"/>
        </w:rPr>
        <w:t>Robbinsdale Adult Academic Program</w:t>
      </w:r>
    </w:p>
    <w:p w:rsidR="005A367B" w:rsidRPr="00B148F9" w:rsidRDefault="005A367B" w:rsidP="005A367B">
      <w:pPr>
        <w:pStyle w:val="ListParagraph"/>
        <w:numPr>
          <w:ilvl w:val="0"/>
          <w:numId w:val="42"/>
        </w:numPr>
        <w:spacing w:after="0"/>
        <w:ind w:right="-18"/>
        <w:rPr>
          <w:sz w:val="24"/>
        </w:rPr>
      </w:pPr>
      <w:r w:rsidRPr="00B148F9">
        <w:rPr>
          <w:sz w:val="24"/>
        </w:rPr>
        <w:t>Rochester ABE</w:t>
      </w:r>
    </w:p>
    <w:p w:rsidR="005A367B" w:rsidRPr="00B148F9" w:rsidRDefault="005A367B" w:rsidP="005A367B">
      <w:pPr>
        <w:pStyle w:val="ListParagraph"/>
        <w:numPr>
          <w:ilvl w:val="0"/>
          <w:numId w:val="42"/>
        </w:numPr>
        <w:spacing w:after="0"/>
        <w:ind w:right="-18"/>
        <w:rPr>
          <w:sz w:val="24"/>
        </w:rPr>
      </w:pPr>
      <w:r w:rsidRPr="00B148F9">
        <w:rPr>
          <w:sz w:val="24"/>
        </w:rPr>
        <w:t>Southeast ABE (Faribault)</w:t>
      </w:r>
    </w:p>
    <w:p w:rsidR="005A367B" w:rsidRPr="00B148F9" w:rsidRDefault="005A367B" w:rsidP="005A367B">
      <w:pPr>
        <w:pStyle w:val="ListParagraph"/>
        <w:numPr>
          <w:ilvl w:val="0"/>
          <w:numId w:val="42"/>
        </w:numPr>
        <w:spacing w:after="0"/>
        <w:ind w:right="-18"/>
        <w:rPr>
          <w:sz w:val="24"/>
        </w:rPr>
      </w:pPr>
      <w:r w:rsidRPr="00B148F9">
        <w:rPr>
          <w:sz w:val="24"/>
        </w:rPr>
        <w:t xml:space="preserve">Southwest ABE Region Collaborative (Mankato, New Ulm, BIC Graphics/Sleepy Eye, Hutchison, Willmar, </w:t>
      </w:r>
      <w:proofErr w:type="spellStart"/>
      <w:r w:rsidRPr="00B148F9">
        <w:rPr>
          <w:sz w:val="24"/>
        </w:rPr>
        <w:t>LeSueur</w:t>
      </w:r>
      <w:proofErr w:type="spellEnd"/>
      <w:r w:rsidRPr="00B148F9">
        <w:rPr>
          <w:sz w:val="24"/>
        </w:rPr>
        <w:t>, St. Peter, Marshall, Worthington, Granite Falls, and Blue Earth)</w:t>
      </w:r>
    </w:p>
    <w:p w:rsidR="005A367B" w:rsidRDefault="005A367B" w:rsidP="005A367B">
      <w:pPr>
        <w:pStyle w:val="ListParagraph"/>
        <w:numPr>
          <w:ilvl w:val="0"/>
          <w:numId w:val="42"/>
        </w:numPr>
        <w:spacing w:after="0"/>
        <w:ind w:right="-18"/>
        <w:rPr>
          <w:sz w:val="24"/>
        </w:rPr>
      </w:pPr>
      <w:r w:rsidRPr="00B148F9">
        <w:rPr>
          <w:sz w:val="24"/>
        </w:rPr>
        <w:t>St. Paul Community Literacy Consortium (</w:t>
      </w:r>
      <w:proofErr w:type="spellStart"/>
      <w:r w:rsidRPr="00B148F9">
        <w:rPr>
          <w:sz w:val="24"/>
        </w:rPr>
        <w:t>Hubbs</w:t>
      </w:r>
      <w:proofErr w:type="spellEnd"/>
      <w:r w:rsidRPr="00B148F9">
        <w:rPr>
          <w:sz w:val="24"/>
        </w:rPr>
        <w:t xml:space="preserve"> Center)</w:t>
      </w:r>
    </w:p>
    <w:p w:rsidR="005A367B" w:rsidRPr="005D592D" w:rsidRDefault="005A367B" w:rsidP="005A367B">
      <w:pPr>
        <w:pStyle w:val="List"/>
      </w:pPr>
    </w:p>
    <w:p w:rsidR="005A367B" w:rsidRPr="005A367B" w:rsidRDefault="005A367B" w:rsidP="00C37C4B">
      <w:pPr>
        <w:pStyle w:val="Heading2"/>
        <w:shd w:val="clear" w:color="auto" w:fill="C00000"/>
        <w:rPr>
          <w:color w:val="FFFFFF" w:themeColor="background1"/>
        </w:rPr>
      </w:pPr>
      <w:r w:rsidRPr="005A367B">
        <w:rPr>
          <w:color w:val="FFFFFF" w:themeColor="background1"/>
        </w:rPr>
        <w:t>New State Standard Adult High School Diploma Program Timeline</w:t>
      </w:r>
    </w:p>
    <w:p w:rsidR="00AB0C68" w:rsidRDefault="00AB0C68" w:rsidP="00AB0C68">
      <w:pPr>
        <w:pStyle w:val="ListParagraph"/>
        <w:numPr>
          <w:ilvl w:val="0"/>
          <w:numId w:val="45"/>
        </w:numPr>
        <w:tabs>
          <w:tab w:val="left" w:pos="720"/>
        </w:tabs>
        <w:spacing w:after="0"/>
        <w:ind w:right="-18"/>
        <w:rPr>
          <w:sz w:val="24"/>
          <w:szCs w:val="24"/>
        </w:rPr>
      </w:pPr>
      <w:r>
        <w:rPr>
          <w:sz w:val="24"/>
          <w:szCs w:val="24"/>
        </w:rPr>
        <w:t>Pilot Application Release Date (Wednesday, November 5, 2014)</w:t>
      </w:r>
    </w:p>
    <w:p w:rsidR="00AB0C68" w:rsidRDefault="00AB0C68" w:rsidP="00AB0C68">
      <w:pPr>
        <w:pStyle w:val="ListParagraph"/>
        <w:numPr>
          <w:ilvl w:val="0"/>
          <w:numId w:val="45"/>
        </w:numPr>
        <w:tabs>
          <w:tab w:val="left" w:pos="720"/>
        </w:tabs>
        <w:spacing w:after="0"/>
        <w:ind w:right="-18"/>
        <w:rPr>
          <w:sz w:val="24"/>
          <w:szCs w:val="24"/>
        </w:rPr>
      </w:pPr>
      <w:r>
        <w:rPr>
          <w:sz w:val="24"/>
          <w:szCs w:val="24"/>
        </w:rPr>
        <w:t>Pilot Application Due Date (Tuesday, December 2, 2014)</w:t>
      </w:r>
    </w:p>
    <w:p w:rsidR="00AB0C68" w:rsidRDefault="00AB0C68" w:rsidP="00AB0C68">
      <w:pPr>
        <w:pStyle w:val="ListParagraph"/>
        <w:numPr>
          <w:ilvl w:val="0"/>
          <w:numId w:val="45"/>
        </w:numPr>
        <w:tabs>
          <w:tab w:val="left" w:pos="720"/>
        </w:tabs>
        <w:spacing w:after="0"/>
        <w:ind w:right="-18"/>
        <w:rPr>
          <w:sz w:val="24"/>
          <w:szCs w:val="24"/>
        </w:rPr>
      </w:pPr>
      <w:r>
        <w:rPr>
          <w:sz w:val="24"/>
          <w:szCs w:val="24"/>
        </w:rPr>
        <w:t>Initial Training (Monday, December 15, 2014, Thursday, January 15, 2015, and Friday, January 16, 2015)</w:t>
      </w:r>
    </w:p>
    <w:p w:rsidR="00AB0C68" w:rsidRDefault="00AB0C68" w:rsidP="00AB0C68">
      <w:pPr>
        <w:pStyle w:val="ListParagraph"/>
        <w:numPr>
          <w:ilvl w:val="0"/>
          <w:numId w:val="45"/>
        </w:numPr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Pilot Period (February 2 – June 30, 2015)</w:t>
      </w:r>
    </w:p>
    <w:p w:rsidR="00AB0C68" w:rsidRDefault="00AB0C68" w:rsidP="00AB0C68">
      <w:pPr>
        <w:pStyle w:val="ListParagraph"/>
        <w:numPr>
          <w:ilvl w:val="0"/>
          <w:numId w:val="45"/>
        </w:numPr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Working Group Meeting (3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Monday of the month)</w:t>
      </w:r>
    </w:p>
    <w:p w:rsidR="00AB0C68" w:rsidRDefault="00AB0C68" w:rsidP="00AB0C68">
      <w:pPr>
        <w:pStyle w:val="ListParagraph"/>
        <w:numPr>
          <w:ilvl w:val="0"/>
          <w:numId w:val="45"/>
        </w:numPr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End of pilot period (June 30, 2015)</w:t>
      </w:r>
    </w:p>
    <w:p w:rsidR="00AB0C68" w:rsidRDefault="00AB0C68" w:rsidP="00AB0C68">
      <w:pPr>
        <w:pStyle w:val="ListParagraph"/>
        <w:numPr>
          <w:ilvl w:val="0"/>
          <w:numId w:val="45"/>
        </w:numPr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Local Pilot Evaluation/Report Due (July 15, 2015)</w:t>
      </w:r>
    </w:p>
    <w:p w:rsidR="00AB0C68" w:rsidRDefault="00AB0C68" w:rsidP="00AB0C68">
      <w:pPr>
        <w:pStyle w:val="ListParagraph"/>
        <w:numPr>
          <w:ilvl w:val="0"/>
          <w:numId w:val="45"/>
        </w:numPr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Evaluate pilot period and prepare for full launch (June-August 2015)</w:t>
      </w:r>
    </w:p>
    <w:p w:rsidR="00AB0C68" w:rsidRDefault="00AB0C68" w:rsidP="00AB0C68">
      <w:pPr>
        <w:pStyle w:val="ListParagraph"/>
        <w:numPr>
          <w:ilvl w:val="0"/>
          <w:numId w:val="45"/>
        </w:numPr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Post application for pilot phase 2 (October 2015)</w:t>
      </w:r>
    </w:p>
    <w:p w:rsidR="00AB0C68" w:rsidRDefault="00AB0C68" w:rsidP="00AB0C68">
      <w:pPr>
        <w:pStyle w:val="ListParagraph"/>
        <w:numPr>
          <w:ilvl w:val="0"/>
          <w:numId w:val="45"/>
        </w:numPr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Pilot 2 applications due (November 2015)</w:t>
      </w:r>
    </w:p>
    <w:p w:rsidR="00AB0C68" w:rsidRDefault="00AB0C68" w:rsidP="00AB0C68">
      <w:pPr>
        <w:pStyle w:val="ListParagraph"/>
        <w:numPr>
          <w:ilvl w:val="0"/>
          <w:numId w:val="45"/>
        </w:numPr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Pilot 2 initial training –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Monday/month (January-June 2016)</w:t>
      </w:r>
    </w:p>
    <w:p w:rsidR="005A367B" w:rsidRPr="00024FC0" w:rsidRDefault="005A367B" w:rsidP="005A367B">
      <w:pPr>
        <w:rPr>
          <w:rFonts w:eastAsiaTheme="majorEastAsia" w:cstheme="majorBidi"/>
          <w:b/>
          <w:bCs/>
          <w:sz w:val="24"/>
          <w:szCs w:val="24"/>
        </w:rPr>
      </w:pPr>
      <w:bookmarkStart w:id="1" w:name="_GoBack"/>
      <w:bookmarkEnd w:id="1"/>
      <w:r w:rsidRPr="00024FC0">
        <w:rPr>
          <w:sz w:val="24"/>
          <w:szCs w:val="24"/>
        </w:rPr>
        <w:t>Ongoing training and technical assi</w:t>
      </w:r>
      <w:r w:rsidRPr="00024FC0">
        <w:rPr>
          <w:rFonts w:eastAsiaTheme="majorEastAsia" w:cstheme="majorBidi"/>
          <w:bCs/>
          <w:sz w:val="24"/>
          <w:szCs w:val="24"/>
        </w:rPr>
        <w:t>stance will be provided through the monthly New State Adult Diploma Working Group, which meets typically the third Monday of the month.</w:t>
      </w:r>
    </w:p>
    <w:p w:rsidR="00DF0440" w:rsidRPr="005A367B" w:rsidRDefault="00633CB3" w:rsidP="00DF0440">
      <w:pPr>
        <w:pStyle w:val="Heading2"/>
        <w:shd w:val="clear" w:color="auto" w:fill="C00000"/>
        <w:rPr>
          <w:color w:val="FFFFFF" w:themeColor="background1"/>
        </w:rPr>
      </w:pPr>
      <w:r>
        <w:rPr>
          <w:color w:val="FFFFFF" w:themeColor="background1"/>
        </w:rPr>
        <w:t xml:space="preserve">Student </w:t>
      </w:r>
      <w:r w:rsidR="00DF0440">
        <w:rPr>
          <w:color w:val="FFFFFF" w:themeColor="background1"/>
        </w:rPr>
        <w:t>Eligibility</w:t>
      </w:r>
    </w:p>
    <w:p w:rsidR="00DF0440" w:rsidRPr="00DF0440" w:rsidRDefault="00DF0440" w:rsidP="00DF0440">
      <w:pPr>
        <w:rPr>
          <w:sz w:val="14"/>
        </w:rPr>
      </w:pPr>
      <w:r>
        <w:rPr>
          <w:sz w:val="24"/>
        </w:rPr>
        <w:t>A</w:t>
      </w:r>
      <w:r w:rsidR="00633CB3">
        <w:rPr>
          <w:sz w:val="24"/>
        </w:rPr>
        <w:t>n adult</w:t>
      </w:r>
      <w:r>
        <w:rPr>
          <w:sz w:val="24"/>
        </w:rPr>
        <w:t xml:space="preserve"> can be eligible for this diploma program if they do not have a diploma</w:t>
      </w:r>
      <w:r w:rsidR="00024FC0">
        <w:rPr>
          <w:sz w:val="24"/>
        </w:rPr>
        <w:t>,</w:t>
      </w:r>
      <w:r>
        <w:rPr>
          <w:sz w:val="24"/>
        </w:rPr>
        <w:t xml:space="preserve"> are not </w:t>
      </w:r>
      <w:r w:rsidR="00024FC0">
        <w:rPr>
          <w:sz w:val="24"/>
        </w:rPr>
        <w:t>participating with</w:t>
      </w:r>
      <w:r>
        <w:rPr>
          <w:sz w:val="24"/>
        </w:rPr>
        <w:t xml:space="preserve"> </w:t>
      </w:r>
      <w:r w:rsidR="00633CB3">
        <w:rPr>
          <w:sz w:val="24"/>
        </w:rPr>
        <w:t>K-12 services</w:t>
      </w:r>
      <w:r w:rsidR="00024FC0">
        <w:rPr>
          <w:sz w:val="24"/>
        </w:rPr>
        <w:t>, are age 19 and older,</w:t>
      </w:r>
      <w:r w:rsidR="00633CB3">
        <w:rPr>
          <w:sz w:val="24"/>
        </w:rPr>
        <w:t xml:space="preserve"> </w:t>
      </w:r>
      <w:r w:rsidR="00024FC0">
        <w:rPr>
          <w:sz w:val="24"/>
        </w:rPr>
        <w:t>and</w:t>
      </w:r>
      <w:r w:rsidR="00633CB3">
        <w:rPr>
          <w:sz w:val="24"/>
        </w:rPr>
        <w:t xml:space="preserve"> are eligible for ABE program services.</w:t>
      </w:r>
    </w:p>
    <w:p w:rsidR="005A367B" w:rsidRPr="005A367B" w:rsidRDefault="00DF0440" w:rsidP="005A367B">
      <w:pPr>
        <w:pStyle w:val="Heading2"/>
        <w:rPr>
          <w:color w:val="76923C" w:themeColor="accent3" w:themeShade="BF"/>
        </w:rPr>
      </w:pPr>
      <w:r>
        <w:rPr>
          <w:color w:val="76923C" w:themeColor="accent3" w:themeShade="BF"/>
        </w:rPr>
        <w:lastRenderedPageBreak/>
        <w:t xml:space="preserve">State Standard Adult High School Diploma </w:t>
      </w:r>
      <w:r w:rsidR="005A367B" w:rsidRPr="005A367B">
        <w:rPr>
          <w:color w:val="76923C" w:themeColor="accent3" w:themeShade="BF"/>
        </w:rPr>
        <w:t>Pilot Program Details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38"/>
        <w:gridCol w:w="4060"/>
        <w:gridCol w:w="2070"/>
        <w:gridCol w:w="2520"/>
      </w:tblGrid>
      <w:tr w:rsidR="00A93B55" w:rsidRPr="00714936" w:rsidTr="00A93B55">
        <w:tc>
          <w:tcPr>
            <w:tcW w:w="1538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C0504D" w:themeColor="accent2"/>
            </w:tcBorders>
            <w:shd w:val="clear" w:color="auto" w:fill="C00000"/>
          </w:tcPr>
          <w:p w:rsidR="00A93B55" w:rsidRPr="00714936" w:rsidRDefault="00A93B55" w:rsidP="00F04FFF">
            <w:pPr>
              <w:rPr>
                <w:b/>
                <w:color w:val="FFFFFF" w:themeColor="background1"/>
              </w:rPr>
            </w:pPr>
            <w:r w:rsidRPr="00714936">
              <w:rPr>
                <w:b/>
                <w:color w:val="FFFFFF" w:themeColor="background1"/>
              </w:rPr>
              <w:t>Applicant</w:t>
            </w:r>
          </w:p>
        </w:tc>
        <w:tc>
          <w:tcPr>
            <w:tcW w:w="4060" w:type="dxa"/>
            <w:tcBorders>
              <w:top w:val="thinThickSmallGap" w:sz="24" w:space="0" w:color="auto"/>
              <w:left w:val="single" w:sz="4" w:space="0" w:color="C0504D" w:themeColor="accent2"/>
              <w:bottom w:val="thinThickSmallGap" w:sz="24" w:space="0" w:color="auto"/>
              <w:right w:val="single" w:sz="4" w:space="0" w:color="C0504D" w:themeColor="accent2"/>
            </w:tcBorders>
            <w:shd w:val="clear" w:color="auto" w:fill="C00000"/>
          </w:tcPr>
          <w:p w:rsidR="00A93B55" w:rsidRPr="00714936" w:rsidRDefault="00A93B55" w:rsidP="00F04FFF">
            <w:pPr>
              <w:rPr>
                <w:b/>
                <w:color w:val="FFFFFF" w:themeColor="background1"/>
              </w:rPr>
            </w:pPr>
            <w:r w:rsidRPr="00714936">
              <w:rPr>
                <w:b/>
                <w:color w:val="FFFFFF" w:themeColor="background1"/>
              </w:rPr>
              <w:t>Pilot Sites</w:t>
            </w:r>
          </w:p>
        </w:tc>
        <w:tc>
          <w:tcPr>
            <w:tcW w:w="2070" w:type="dxa"/>
            <w:tcBorders>
              <w:top w:val="thinThickSmallGap" w:sz="24" w:space="0" w:color="auto"/>
              <w:left w:val="single" w:sz="4" w:space="0" w:color="C0504D" w:themeColor="accent2"/>
              <w:bottom w:val="thinThickSmallGap" w:sz="24" w:space="0" w:color="auto"/>
              <w:right w:val="single" w:sz="4" w:space="0" w:color="C0504D" w:themeColor="accent2"/>
            </w:tcBorders>
            <w:shd w:val="clear" w:color="auto" w:fill="C00000"/>
          </w:tcPr>
          <w:p w:rsidR="00A93B55" w:rsidRPr="00714936" w:rsidRDefault="00C60127" w:rsidP="00F04FF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Pilot Lead</w:t>
            </w:r>
          </w:p>
        </w:tc>
        <w:tc>
          <w:tcPr>
            <w:tcW w:w="2520" w:type="dxa"/>
            <w:tcBorders>
              <w:top w:val="thinThickSmallGap" w:sz="24" w:space="0" w:color="auto"/>
              <w:left w:val="single" w:sz="4" w:space="0" w:color="C0504D" w:themeColor="accent2"/>
              <w:bottom w:val="thinThickSmallGap" w:sz="24" w:space="0" w:color="auto"/>
              <w:right w:val="single" w:sz="4" w:space="0" w:color="C0504D" w:themeColor="accent2"/>
            </w:tcBorders>
            <w:shd w:val="clear" w:color="auto" w:fill="C00000"/>
          </w:tcPr>
          <w:p w:rsidR="00A93B55" w:rsidRPr="00714936" w:rsidRDefault="00A93B55" w:rsidP="00F04FF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Contact Information</w:t>
            </w:r>
          </w:p>
        </w:tc>
      </w:tr>
      <w:tr w:rsidR="00A93B55" w:rsidTr="0016081D">
        <w:trPr>
          <w:trHeight w:val="837"/>
        </w:trPr>
        <w:tc>
          <w:tcPr>
            <w:tcW w:w="1538" w:type="dxa"/>
            <w:tcBorders>
              <w:top w:val="thinThickSmallGap" w:sz="24" w:space="0" w:color="auto"/>
              <w:bottom w:val="single" w:sz="4" w:space="0" w:color="auto"/>
              <w:right w:val="single" w:sz="4" w:space="0" w:color="C0504D" w:themeColor="accent2"/>
            </w:tcBorders>
            <w:shd w:val="clear" w:color="auto" w:fill="76923C" w:themeFill="accent3" w:themeFillShade="BF"/>
          </w:tcPr>
          <w:p w:rsidR="00A93B55" w:rsidRPr="0016081D" w:rsidRDefault="00A93B55" w:rsidP="00F04FFF">
            <w:pPr>
              <w:rPr>
                <w:b/>
                <w:color w:val="FFFFFF" w:themeColor="background1"/>
              </w:rPr>
            </w:pPr>
            <w:r w:rsidRPr="0016081D">
              <w:rPr>
                <w:b/>
                <w:color w:val="FFFFFF" w:themeColor="background1"/>
              </w:rPr>
              <w:t>Cass Lake-</w:t>
            </w:r>
            <w:proofErr w:type="spellStart"/>
            <w:r w:rsidRPr="0016081D">
              <w:rPr>
                <w:b/>
                <w:color w:val="FFFFFF" w:themeColor="background1"/>
              </w:rPr>
              <w:t>Bena</w:t>
            </w:r>
            <w:proofErr w:type="spellEnd"/>
            <w:r w:rsidRPr="0016081D">
              <w:rPr>
                <w:b/>
                <w:color w:val="FFFFFF" w:themeColor="background1"/>
              </w:rPr>
              <w:t>-Walker</w:t>
            </w:r>
          </w:p>
        </w:tc>
        <w:tc>
          <w:tcPr>
            <w:tcW w:w="4060" w:type="dxa"/>
            <w:tcBorders>
              <w:top w:val="thinThickSmallGap" w:sz="24" w:space="0" w:color="auto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A93B55" w:rsidRDefault="00A93B55" w:rsidP="00F04FFF">
            <w:r>
              <w:t>Cass Lake-</w:t>
            </w:r>
            <w:proofErr w:type="spellStart"/>
            <w:r>
              <w:t>Bena</w:t>
            </w:r>
            <w:proofErr w:type="spellEnd"/>
            <w:r>
              <w:t xml:space="preserve"> &amp;</w:t>
            </w:r>
          </w:p>
          <w:p w:rsidR="00A93B55" w:rsidRDefault="00A93B55" w:rsidP="00F04FFF">
            <w:r>
              <w:t>Walker</w:t>
            </w:r>
          </w:p>
        </w:tc>
        <w:tc>
          <w:tcPr>
            <w:tcW w:w="2070" w:type="dxa"/>
            <w:tcBorders>
              <w:top w:val="thinThickSmallGap" w:sz="24" w:space="0" w:color="auto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A93B55" w:rsidRDefault="00A93B55" w:rsidP="00F04FFF">
            <w:r>
              <w:t>Sarah Larson</w:t>
            </w:r>
          </w:p>
        </w:tc>
        <w:tc>
          <w:tcPr>
            <w:tcW w:w="2520" w:type="dxa"/>
            <w:tcBorders>
              <w:top w:val="thinThickSmallGap" w:sz="24" w:space="0" w:color="auto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A93B55" w:rsidRDefault="00A93B55" w:rsidP="00F04FFF">
            <w:r>
              <w:t>218-335-6529</w:t>
            </w:r>
          </w:p>
        </w:tc>
      </w:tr>
      <w:tr w:rsidR="00A93B55" w:rsidTr="0016081D">
        <w:trPr>
          <w:trHeight w:val="620"/>
        </w:trPr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C0504D" w:themeColor="accent2"/>
            </w:tcBorders>
            <w:shd w:val="clear" w:color="auto" w:fill="76923C" w:themeFill="accent3" w:themeFillShade="BF"/>
          </w:tcPr>
          <w:p w:rsidR="00A93B55" w:rsidRPr="0016081D" w:rsidRDefault="00A93B55" w:rsidP="00F04FFF">
            <w:pPr>
              <w:rPr>
                <w:b/>
                <w:color w:val="FFFFFF" w:themeColor="background1"/>
              </w:rPr>
            </w:pPr>
            <w:r w:rsidRPr="0016081D">
              <w:rPr>
                <w:b/>
                <w:color w:val="FFFFFF" w:themeColor="background1"/>
              </w:rPr>
              <w:t>Central Minnesota</w:t>
            </w:r>
          </w:p>
        </w:tc>
        <w:tc>
          <w:tcPr>
            <w:tcW w:w="406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A93B55" w:rsidRDefault="00A93B55" w:rsidP="00F04FFF">
            <w:r>
              <w:t>St. Cloud Discovery Center</w:t>
            </w:r>
          </w:p>
        </w:tc>
        <w:tc>
          <w:tcPr>
            <w:tcW w:w="207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A93B55" w:rsidRDefault="00A93B55" w:rsidP="00F04FFF">
            <w:r>
              <w:t xml:space="preserve">Scott </w:t>
            </w:r>
            <w:proofErr w:type="spellStart"/>
            <w:r>
              <w:t>Wallner</w:t>
            </w:r>
            <w:proofErr w:type="spellEnd"/>
          </w:p>
        </w:tc>
        <w:tc>
          <w:tcPr>
            <w:tcW w:w="25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A93B55" w:rsidRDefault="00A93B55" w:rsidP="00F04FFF">
            <w:r>
              <w:t>320-529-6500</w:t>
            </w:r>
          </w:p>
        </w:tc>
      </w:tr>
      <w:tr w:rsidR="00A93B55" w:rsidTr="0016081D">
        <w:trPr>
          <w:trHeight w:val="629"/>
        </w:trPr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C0504D" w:themeColor="accent2"/>
            </w:tcBorders>
            <w:shd w:val="clear" w:color="auto" w:fill="76923C" w:themeFill="accent3" w:themeFillShade="BF"/>
          </w:tcPr>
          <w:p w:rsidR="00A93B55" w:rsidRPr="0016081D" w:rsidRDefault="00A93B55" w:rsidP="00F04FFF">
            <w:pPr>
              <w:rPr>
                <w:b/>
                <w:color w:val="FFFFFF" w:themeColor="background1"/>
              </w:rPr>
            </w:pPr>
            <w:r w:rsidRPr="0016081D">
              <w:rPr>
                <w:b/>
                <w:color w:val="FFFFFF" w:themeColor="background1"/>
              </w:rPr>
              <w:t>DOC</w:t>
            </w:r>
          </w:p>
        </w:tc>
        <w:tc>
          <w:tcPr>
            <w:tcW w:w="406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A93B55" w:rsidRDefault="00A93B55" w:rsidP="00F04FFF">
            <w:r>
              <w:t>St. Cloud and Faribault facilities</w:t>
            </w:r>
          </w:p>
        </w:tc>
        <w:tc>
          <w:tcPr>
            <w:tcW w:w="207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A93B55" w:rsidRDefault="00A93B55" w:rsidP="00F04FFF">
            <w:r>
              <w:t>Theresa Luther-Dolan</w:t>
            </w:r>
          </w:p>
        </w:tc>
        <w:tc>
          <w:tcPr>
            <w:tcW w:w="25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A93B55" w:rsidRDefault="00A93B55" w:rsidP="00F04FFF">
            <w:r w:rsidRPr="00A93B55">
              <w:t>Theresa.Luther@state.mn.us</w:t>
            </w:r>
          </w:p>
        </w:tc>
      </w:tr>
      <w:tr w:rsidR="00A93B55" w:rsidTr="0016081D">
        <w:trPr>
          <w:trHeight w:val="665"/>
        </w:trPr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C0504D" w:themeColor="accent2"/>
            </w:tcBorders>
            <w:shd w:val="clear" w:color="auto" w:fill="76923C" w:themeFill="accent3" w:themeFillShade="BF"/>
          </w:tcPr>
          <w:p w:rsidR="00A93B55" w:rsidRPr="0016081D" w:rsidRDefault="00A93B55" w:rsidP="00F04FFF">
            <w:pPr>
              <w:rPr>
                <w:b/>
                <w:color w:val="FFFFFF" w:themeColor="background1"/>
              </w:rPr>
            </w:pPr>
            <w:r w:rsidRPr="0016081D">
              <w:rPr>
                <w:b/>
                <w:color w:val="FFFFFF" w:themeColor="background1"/>
              </w:rPr>
              <w:t>Hiawatha Valley</w:t>
            </w:r>
          </w:p>
        </w:tc>
        <w:tc>
          <w:tcPr>
            <w:tcW w:w="406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A93B55" w:rsidRDefault="00A93B55" w:rsidP="00F04FFF">
            <w:r>
              <w:t>Red Wing/Southeast Technical College</w:t>
            </w:r>
          </w:p>
        </w:tc>
        <w:tc>
          <w:tcPr>
            <w:tcW w:w="207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A93B55" w:rsidRDefault="00A93B55" w:rsidP="00F04FFF">
            <w:r>
              <w:t xml:space="preserve">Jill </w:t>
            </w:r>
            <w:proofErr w:type="spellStart"/>
            <w:r>
              <w:t>Rivard</w:t>
            </w:r>
            <w:proofErr w:type="spellEnd"/>
          </w:p>
        </w:tc>
        <w:tc>
          <w:tcPr>
            <w:tcW w:w="25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A93B55" w:rsidRDefault="00A93B55" w:rsidP="00F04FFF">
            <w:r>
              <w:t>651-385-4562</w:t>
            </w:r>
          </w:p>
        </w:tc>
      </w:tr>
      <w:tr w:rsidR="00A93B55" w:rsidTr="0016081D">
        <w:trPr>
          <w:trHeight w:val="845"/>
        </w:trPr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C0504D" w:themeColor="accent2"/>
            </w:tcBorders>
            <w:shd w:val="clear" w:color="auto" w:fill="76923C" w:themeFill="accent3" w:themeFillShade="BF"/>
          </w:tcPr>
          <w:p w:rsidR="00A93B55" w:rsidRPr="0016081D" w:rsidRDefault="00A93B55" w:rsidP="00F04FFF">
            <w:pPr>
              <w:rPr>
                <w:b/>
                <w:color w:val="FFFFFF" w:themeColor="background1"/>
              </w:rPr>
            </w:pPr>
            <w:r w:rsidRPr="0016081D">
              <w:rPr>
                <w:b/>
                <w:color w:val="FFFFFF" w:themeColor="background1"/>
              </w:rPr>
              <w:t>Lakeville</w:t>
            </w:r>
          </w:p>
        </w:tc>
        <w:tc>
          <w:tcPr>
            <w:tcW w:w="406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A93B55" w:rsidRDefault="00A93B55" w:rsidP="00F04FFF">
            <w:r>
              <w:t>Pathways Adult Education</w:t>
            </w:r>
          </w:p>
          <w:p w:rsidR="00A93B55" w:rsidRDefault="00A93B55" w:rsidP="00F04FFF">
            <w:r>
              <w:t>Lakeville Area Learning Center (Downtown Lakeville)</w:t>
            </w:r>
          </w:p>
        </w:tc>
        <w:tc>
          <w:tcPr>
            <w:tcW w:w="207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A93B55" w:rsidRDefault="00A93B55" w:rsidP="00F04FFF">
            <w:r>
              <w:t xml:space="preserve">Clifford </w:t>
            </w:r>
            <w:proofErr w:type="spellStart"/>
            <w:r>
              <w:t>Skagen</w:t>
            </w:r>
            <w:proofErr w:type="spellEnd"/>
          </w:p>
        </w:tc>
        <w:tc>
          <w:tcPr>
            <w:tcW w:w="25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A93B55" w:rsidRDefault="00A93B55" w:rsidP="00F04FFF">
            <w:r>
              <w:t>952-232-2080</w:t>
            </w:r>
          </w:p>
        </w:tc>
      </w:tr>
      <w:tr w:rsidR="00A93B55" w:rsidTr="0016081D">
        <w:trPr>
          <w:trHeight w:val="899"/>
        </w:trPr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C0504D" w:themeColor="accent2"/>
            </w:tcBorders>
            <w:shd w:val="clear" w:color="auto" w:fill="76923C" w:themeFill="accent3" w:themeFillShade="BF"/>
          </w:tcPr>
          <w:p w:rsidR="00A93B55" w:rsidRPr="0016081D" w:rsidRDefault="00A93B55" w:rsidP="00F04FFF">
            <w:pPr>
              <w:rPr>
                <w:b/>
                <w:color w:val="FFFFFF" w:themeColor="background1"/>
              </w:rPr>
            </w:pPr>
            <w:r w:rsidRPr="0016081D">
              <w:rPr>
                <w:b/>
                <w:color w:val="FFFFFF" w:themeColor="background1"/>
              </w:rPr>
              <w:t>Metro North</w:t>
            </w:r>
          </w:p>
        </w:tc>
        <w:tc>
          <w:tcPr>
            <w:tcW w:w="406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A93B55" w:rsidRDefault="00A93B55" w:rsidP="00F04FFF">
            <w:r>
              <w:t>Blaine Learning Lab (Co-location with the Anoka County Workforce Center)</w:t>
            </w:r>
          </w:p>
        </w:tc>
        <w:tc>
          <w:tcPr>
            <w:tcW w:w="207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A93B55" w:rsidRDefault="00A93B55" w:rsidP="00F04FFF">
            <w:r>
              <w:t>Patrice Adams</w:t>
            </w:r>
          </w:p>
        </w:tc>
        <w:tc>
          <w:tcPr>
            <w:tcW w:w="25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A93B55" w:rsidRDefault="00C60127" w:rsidP="00F04FFF">
            <w:r>
              <w:t>763-783-4870</w:t>
            </w:r>
          </w:p>
        </w:tc>
      </w:tr>
      <w:tr w:rsidR="00A93B55" w:rsidTr="0016081D">
        <w:trPr>
          <w:trHeight w:val="674"/>
        </w:trPr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C0504D" w:themeColor="accent2"/>
            </w:tcBorders>
            <w:shd w:val="clear" w:color="auto" w:fill="76923C" w:themeFill="accent3" w:themeFillShade="BF"/>
          </w:tcPr>
          <w:p w:rsidR="00A93B55" w:rsidRPr="0016081D" w:rsidRDefault="00A93B55" w:rsidP="00F04FFF">
            <w:pPr>
              <w:rPr>
                <w:b/>
                <w:color w:val="FFFFFF" w:themeColor="background1"/>
              </w:rPr>
            </w:pPr>
            <w:r w:rsidRPr="0016081D">
              <w:rPr>
                <w:b/>
                <w:color w:val="FFFFFF" w:themeColor="background1"/>
              </w:rPr>
              <w:t>Minneapolis</w:t>
            </w:r>
          </w:p>
        </w:tc>
        <w:tc>
          <w:tcPr>
            <w:tcW w:w="406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A93B55" w:rsidRDefault="00A93B55" w:rsidP="00F04FFF">
            <w:r>
              <w:t>Volunteers of America Adult High School</w:t>
            </w:r>
          </w:p>
        </w:tc>
        <w:tc>
          <w:tcPr>
            <w:tcW w:w="207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A93B55" w:rsidRDefault="00A93B55" w:rsidP="00F04FFF">
            <w:r>
              <w:t>Kate Ronald</w:t>
            </w:r>
          </w:p>
        </w:tc>
        <w:tc>
          <w:tcPr>
            <w:tcW w:w="25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A93B55" w:rsidRDefault="00C60127" w:rsidP="00F04FFF">
            <w:r>
              <w:t>612-375-0700</w:t>
            </w:r>
          </w:p>
        </w:tc>
      </w:tr>
      <w:tr w:rsidR="00A93B55" w:rsidTr="0016081D">
        <w:trPr>
          <w:trHeight w:val="440"/>
        </w:trPr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C0504D" w:themeColor="accent2"/>
            </w:tcBorders>
            <w:shd w:val="clear" w:color="auto" w:fill="76923C" w:themeFill="accent3" w:themeFillShade="BF"/>
          </w:tcPr>
          <w:p w:rsidR="00A93B55" w:rsidRPr="0016081D" w:rsidRDefault="00A93B55" w:rsidP="00F04FFF">
            <w:pPr>
              <w:rPr>
                <w:b/>
                <w:color w:val="FFFFFF" w:themeColor="background1"/>
              </w:rPr>
            </w:pPr>
            <w:r w:rsidRPr="0016081D">
              <w:rPr>
                <w:b/>
                <w:color w:val="FFFFFF" w:themeColor="background1"/>
              </w:rPr>
              <w:t>Osseo</w:t>
            </w:r>
          </w:p>
        </w:tc>
        <w:tc>
          <w:tcPr>
            <w:tcW w:w="406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A93B55" w:rsidRDefault="00A93B55" w:rsidP="00F04FFF">
            <w:r>
              <w:t>Osseo ABE Center</w:t>
            </w:r>
          </w:p>
        </w:tc>
        <w:tc>
          <w:tcPr>
            <w:tcW w:w="207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A93B55" w:rsidRDefault="00A93B55" w:rsidP="00F04FFF">
            <w:r>
              <w:t>Julie Pierce</w:t>
            </w:r>
          </w:p>
        </w:tc>
        <w:tc>
          <w:tcPr>
            <w:tcW w:w="25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A93B55" w:rsidRDefault="00C60127" w:rsidP="00F04FFF">
            <w:r>
              <w:t>763-566-5452</w:t>
            </w:r>
          </w:p>
        </w:tc>
      </w:tr>
      <w:tr w:rsidR="00A93B55" w:rsidTr="0016081D">
        <w:trPr>
          <w:trHeight w:val="890"/>
        </w:trPr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C0504D" w:themeColor="accent2"/>
            </w:tcBorders>
            <w:shd w:val="clear" w:color="auto" w:fill="76923C" w:themeFill="accent3" w:themeFillShade="BF"/>
          </w:tcPr>
          <w:p w:rsidR="00A93B55" w:rsidRPr="0016081D" w:rsidRDefault="00A93B55" w:rsidP="00F04FFF">
            <w:pPr>
              <w:rPr>
                <w:b/>
                <w:color w:val="FFFFFF" w:themeColor="background1"/>
              </w:rPr>
            </w:pPr>
            <w:r w:rsidRPr="0016081D">
              <w:rPr>
                <w:b/>
                <w:color w:val="FFFFFF" w:themeColor="background1"/>
              </w:rPr>
              <w:t>Robbinsdale</w:t>
            </w:r>
          </w:p>
        </w:tc>
        <w:tc>
          <w:tcPr>
            <w:tcW w:w="406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A93B55" w:rsidRDefault="00A93B55" w:rsidP="00F04FFF">
            <w:r>
              <w:t>Adult Academic Program - Sandburg Learning Center, Golden Valley</w:t>
            </w:r>
          </w:p>
        </w:tc>
        <w:tc>
          <w:tcPr>
            <w:tcW w:w="207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A93B55" w:rsidRDefault="00A93B55" w:rsidP="00F04FFF">
            <w:r>
              <w:t xml:space="preserve">Theresa </w:t>
            </w:r>
            <w:proofErr w:type="spellStart"/>
            <w:r>
              <w:t>Zingery</w:t>
            </w:r>
            <w:proofErr w:type="spellEnd"/>
          </w:p>
        </w:tc>
        <w:tc>
          <w:tcPr>
            <w:tcW w:w="25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A93B55" w:rsidRDefault="00C60127" w:rsidP="00F04FFF">
            <w:r>
              <w:t>763-504-8300</w:t>
            </w:r>
          </w:p>
        </w:tc>
      </w:tr>
      <w:tr w:rsidR="00A93B55" w:rsidTr="0016081D">
        <w:trPr>
          <w:trHeight w:val="395"/>
        </w:trPr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C0504D" w:themeColor="accent2"/>
            </w:tcBorders>
            <w:shd w:val="clear" w:color="auto" w:fill="76923C" w:themeFill="accent3" w:themeFillShade="BF"/>
          </w:tcPr>
          <w:p w:rsidR="00A93B55" w:rsidRPr="0016081D" w:rsidRDefault="00A93B55" w:rsidP="00F04FFF">
            <w:pPr>
              <w:rPr>
                <w:b/>
                <w:color w:val="FFFFFF" w:themeColor="background1"/>
              </w:rPr>
            </w:pPr>
            <w:r w:rsidRPr="0016081D">
              <w:rPr>
                <w:b/>
                <w:color w:val="FFFFFF" w:themeColor="background1"/>
              </w:rPr>
              <w:t>Rochester</w:t>
            </w:r>
          </w:p>
        </w:tc>
        <w:tc>
          <w:tcPr>
            <w:tcW w:w="406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A93B55" w:rsidRDefault="00A93B55" w:rsidP="00F04FFF">
            <w:r>
              <w:t>Hawthorne Education Center</w:t>
            </w:r>
          </w:p>
        </w:tc>
        <w:tc>
          <w:tcPr>
            <w:tcW w:w="207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A93B55" w:rsidRDefault="00A93B55" w:rsidP="00F04FFF">
            <w:r>
              <w:t xml:space="preserve">Nadine </w:t>
            </w:r>
            <w:proofErr w:type="spellStart"/>
            <w:r>
              <w:t>Holthaus</w:t>
            </w:r>
            <w:proofErr w:type="spellEnd"/>
          </w:p>
        </w:tc>
        <w:tc>
          <w:tcPr>
            <w:tcW w:w="25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A93B55" w:rsidRDefault="005846FE" w:rsidP="00F04FFF">
            <w:r>
              <w:t>507-328-4440</w:t>
            </w:r>
          </w:p>
        </w:tc>
      </w:tr>
      <w:tr w:rsidR="00A93B55" w:rsidTr="0016081D">
        <w:trPr>
          <w:trHeight w:val="395"/>
        </w:trPr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C0504D" w:themeColor="accent2"/>
            </w:tcBorders>
            <w:shd w:val="clear" w:color="auto" w:fill="76923C" w:themeFill="accent3" w:themeFillShade="BF"/>
          </w:tcPr>
          <w:p w:rsidR="00A93B55" w:rsidRPr="0016081D" w:rsidRDefault="00A93B55" w:rsidP="00F04FFF">
            <w:pPr>
              <w:rPr>
                <w:b/>
                <w:color w:val="FFFFFF" w:themeColor="background1"/>
              </w:rPr>
            </w:pPr>
            <w:r w:rsidRPr="0016081D">
              <w:rPr>
                <w:b/>
                <w:color w:val="FFFFFF" w:themeColor="background1"/>
              </w:rPr>
              <w:t>Southeast</w:t>
            </w:r>
          </w:p>
        </w:tc>
        <w:tc>
          <w:tcPr>
            <w:tcW w:w="406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A93B55" w:rsidRDefault="00A93B55" w:rsidP="00F04FFF">
            <w:r>
              <w:t>Faribault</w:t>
            </w:r>
          </w:p>
        </w:tc>
        <w:tc>
          <w:tcPr>
            <w:tcW w:w="207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A93B55" w:rsidRDefault="00A93B55" w:rsidP="00F04FFF">
            <w:r>
              <w:t>Yesica Louis</w:t>
            </w:r>
          </w:p>
        </w:tc>
        <w:tc>
          <w:tcPr>
            <w:tcW w:w="25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A93B55" w:rsidRDefault="005846FE" w:rsidP="00F04FFF">
            <w:r>
              <w:t>507-333-6473</w:t>
            </w:r>
          </w:p>
        </w:tc>
      </w:tr>
      <w:tr w:rsidR="00A93B55" w:rsidTr="0016081D">
        <w:trPr>
          <w:trHeight w:val="2222"/>
        </w:trPr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C0504D" w:themeColor="accent2"/>
            </w:tcBorders>
            <w:shd w:val="clear" w:color="auto" w:fill="76923C" w:themeFill="accent3" w:themeFillShade="BF"/>
          </w:tcPr>
          <w:p w:rsidR="00A93B55" w:rsidRPr="0016081D" w:rsidRDefault="00A93B55" w:rsidP="00F04FFF">
            <w:pPr>
              <w:rPr>
                <w:b/>
                <w:color w:val="FFFFFF" w:themeColor="background1"/>
              </w:rPr>
            </w:pPr>
            <w:r w:rsidRPr="0016081D">
              <w:rPr>
                <w:b/>
                <w:color w:val="FFFFFF" w:themeColor="background1"/>
              </w:rPr>
              <w:t>Southwest ABE Region</w:t>
            </w:r>
          </w:p>
        </w:tc>
        <w:tc>
          <w:tcPr>
            <w:tcW w:w="406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A93B55" w:rsidRDefault="00A93B55" w:rsidP="00F04FFF">
            <w:r>
              <w:t>Lincoln Community Center (Mankato), New Ulm Workforce Center (Mankato), BIC Graphics (Sleepy Eye), Hutchison ABE site, Willmar ABE site, SW ABE sites (Marshall, Worthington, Granite Falls, Pipestone), AALC sites (</w:t>
            </w:r>
            <w:proofErr w:type="spellStart"/>
            <w:r>
              <w:t>LeSueur</w:t>
            </w:r>
            <w:proofErr w:type="spellEnd"/>
            <w:r>
              <w:t xml:space="preserve">, St. Peter), Faribault County ABE site (Blue Earth) </w:t>
            </w:r>
          </w:p>
        </w:tc>
        <w:tc>
          <w:tcPr>
            <w:tcW w:w="207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A93B55" w:rsidRDefault="00A93B55" w:rsidP="00F04FFF">
            <w:r>
              <w:t>Karen Wolters</w:t>
            </w:r>
          </w:p>
        </w:tc>
        <w:tc>
          <w:tcPr>
            <w:tcW w:w="25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A93B55" w:rsidRDefault="005846FE" w:rsidP="00F04FFF">
            <w:r>
              <w:t>507-345-5222</w:t>
            </w:r>
          </w:p>
        </w:tc>
      </w:tr>
      <w:tr w:rsidR="00A93B55" w:rsidTr="0016081D">
        <w:trPr>
          <w:trHeight w:val="1115"/>
        </w:trPr>
        <w:tc>
          <w:tcPr>
            <w:tcW w:w="1538" w:type="dxa"/>
            <w:tcBorders>
              <w:top w:val="single" w:sz="4" w:space="0" w:color="auto"/>
              <w:bottom w:val="thickThinSmallGap" w:sz="24" w:space="0" w:color="auto"/>
              <w:right w:val="single" w:sz="4" w:space="0" w:color="C0504D" w:themeColor="accent2"/>
            </w:tcBorders>
            <w:shd w:val="clear" w:color="auto" w:fill="76923C" w:themeFill="accent3" w:themeFillShade="BF"/>
          </w:tcPr>
          <w:p w:rsidR="00A93B55" w:rsidRPr="0016081D" w:rsidRDefault="00A93B55" w:rsidP="00F04FFF">
            <w:pPr>
              <w:rPr>
                <w:b/>
                <w:color w:val="FFFFFF" w:themeColor="background1"/>
              </w:rPr>
            </w:pPr>
            <w:r w:rsidRPr="0016081D">
              <w:rPr>
                <w:b/>
                <w:color w:val="FFFFFF" w:themeColor="background1"/>
              </w:rPr>
              <w:t>St. Paul Community Literacy Consortium</w:t>
            </w:r>
          </w:p>
        </w:tc>
        <w:tc>
          <w:tcPr>
            <w:tcW w:w="4060" w:type="dxa"/>
            <w:tcBorders>
              <w:top w:val="single" w:sz="4" w:space="0" w:color="C0504D" w:themeColor="accent2"/>
              <w:left w:val="single" w:sz="4" w:space="0" w:color="C0504D" w:themeColor="accent2"/>
              <w:bottom w:val="thickThinSmallGap" w:sz="24" w:space="0" w:color="auto"/>
              <w:right w:val="single" w:sz="4" w:space="0" w:color="C0504D" w:themeColor="accent2"/>
            </w:tcBorders>
          </w:tcPr>
          <w:p w:rsidR="00A93B55" w:rsidRDefault="00A93B55" w:rsidP="00F04FFF">
            <w:proofErr w:type="spellStart"/>
            <w:r>
              <w:t>Hubbs</w:t>
            </w:r>
            <w:proofErr w:type="spellEnd"/>
            <w:r>
              <w:t xml:space="preserve"> Center for Lifelong Learning</w:t>
            </w:r>
          </w:p>
        </w:tc>
        <w:tc>
          <w:tcPr>
            <w:tcW w:w="2070" w:type="dxa"/>
            <w:tcBorders>
              <w:top w:val="single" w:sz="4" w:space="0" w:color="C0504D" w:themeColor="accent2"/>
              <w:left w:val="single" w:sz="4" w:space="0" w:color="C0504D" w:themeColor="accent2"/>
              <w:bottom w:val="thickThinSmallGap" w:sz="24" w:space="0" w:color="auto"/>
              <w:right w:val="single" w:sz="4" w:space="0" w:color="C0504D" w:themeColor="accent2"/>
            </w:tcBorders>
          </w:tcPr>
          <w:p w:rsidR="00A93B55" w:rsidRDefault="00A93B55" w:rsidP="00F04FFF">
            <w:proofErr w:type="spellStart"/>
            <w:r>
              <w:t>Renada</w:t>
            </w:r>
            <w:proofErr w:type="spellEnd"/>
            <w:r>
              <w:t xml:space="preserve"> </w:t>
            </w:r>
            <w:proofErr w:type="spellStart"/>
            <w:r>
              <w:t>Rutmanis</w:t>
            </w:r>
            <w:proofErr w:type="spellEnd"/>
          </w:p>
        </w:tc>
        <w:tc>
          <w:tcPr>
            <w:tcW w:w="2520" w:type="dxa"/>
            <w:tcBorders>
              <w:top w:val="single" w:sz="4" w:space="0" w:color="C0504D" w:themeColor="accent2"/>
              <w:left w:val="single" w:sz="4" w:space="0" w:color="C0504D" w:themeColor="accent2"/>
              <w:bottom w:val="thickThinSmallGap" w:sz="24" w:space="0" w:color="auto"/>
              <w:right w:val="single" w:sz="4" w:space="0" w:color="C0504D" w:themeColor="accent2"/>
            </w:tcBorders>
          </w:tcPr>
          <w:p w:rsidR="00A93B55" w:rsidRDefault="005846FE" w:rsidP="00F04FFF">
            <w:r>
              <w:t>651-744-7611</w:t>
            </w:r>
          </w:p>
        </w:tc>
      </w:tr>
      <w:tr w:rsidR="00A93B55" w:rsidRPr="00CD4188" w:rsidTr="00A93B55">
        <w:tc>
          <w:tcPr>
            <w:tcW w:w="1538" w:type="dxa"/>
            <w:tcBorders>
              <w:top w:val="thickThinSmallGap" w:sz="24" w:space="0" w:color="auto"/>
              <w:bottom w:val="thickThinSmallGap" w:sz="24" w:space="0" w:color="auto"/>
              <w:right w:val="single" w:sz="4" w:space="0" w:color="C0504D" w:themeColor="accent2"/>
            </w:tcBorders>
            <w:shd w:val="clear" w:color="auto" w:fill="C00000"/>
          </w:tcPr>
          <w:p w:rsidR="00A93B55" w:rsidRPr="00CD4188" w:rsidRDefault="00A93B55" w:rsidP="00F04FFF">
            <w:pPr>
              <w:rPr>
                <w:b/>
                <w:color w:val="FFFFFF" w:themeColor="background1"/>
                <w:sz w:val="28"/>
              </w:rPr>
            </w:pPr>
            <w:r w:rsidRPr="00CD4188">
              <w:rPr>
                <w:b/>
                <w:color w:val="FFFFFF" w:themeColor="background1"/>
                <w:sz w:val="28"/>
              </w:rPr>
              <w:t>Total</w:t>
            </w:r>
          </w:p>
        </w:tc>
        <w:tc>
          <w:tcPr>
            <w:tcW w:w="4060" w:type="dxa"/>
            <w:tcBorders>
              <w:top w:val="thickThinSmallGap" w:sz="24" w:space="0" w:color="auto"/>
              <w:left w:val="single" w:sz="4" w:space="0" w:color="C0504D" w:themeColor="accent2"/>
              <w:bottom w:val="thickThinSmallGap" w:sz="24" w:space="0" w:color="auto"/>
              <w:right w:val="single" w:sz="4" w:space="0" w:color="C0504D" w:themeColor="accent2"/>
            </w:tcBorders>
            <w:shd w:val="clear" w:color="auto" w:fill="C00000"/>
          </w:tcPr>
          <w:p w:rsidR="00A93B55" w:rsidRPr="00CD4188" w:rsidRDefault="00A93B55" w:rsidP="00F04FFF">
            <w:pPr>
              <w:rPr>
                <w:b/>
                <w:color w:val="FFFFFF" w:themeColor="background1"/>
                <w:sz w:val="28"/>
              </w:rPr>
            </w:pPr>
            <w:r w:rsidRPr="00CD4188">
              <w:rPr>
                <w:b/>
                <w:color w:val="FFFFFF" w:themeColor="background1"/>
                <w:sz w:val="28"/>
              </w:rPr>
              <w:t>26+ Sites</w:t>
            </w:r>
          </w:p>
        </w:tc>
        <w:tc>
          <w:tcPr>
            <w:tcW w:w="2070" w:type="dxa"/>
            <w:tcBorders>
              <w:top w:val="thickThinSmallGap" w:sz="24" w:space="0" w:color="auto"/>
              <w:left w:val="single" w:sz="4" w:space="0" w:color="C0504D" w:themeColor="accent2"/>
              <w:bottom w:val="thickThinSmallGap" w:sz="24" w:space="0" w:color="auto"/>
              <w:right w:val="single" w:sz="4" w:space="0" w:color="C0504D" w:themeColor="accent2"/>
            </w:tcBorders>
            <w:shd w:val="clear" w:color="auto" w:fill="C00000"/>
          </w:tcPr>
          <w:p w:rsidR="00A93B55" w:rsidRPr="00CD4188" w:rsidRDefault="00A93B55" w:rsidP="00F04FFF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520" w:type="dxa"/>
            <w:tcBorders>
              <w:top w:val="thickThinSmallGap" w:sz="24" w:space="0" w:color="auto"/>
              <w:left w:val="single" w:sz="4" w:space="0" w:color="C0504D" w:themeColor="accent2"/>
              <w:bottom w:val="thickThinSmallGap" w:sz="24" w:space="0" w:color="auto"/>
              <w:right w:val="single" w:sz="4" w:space="0" w:color="C0504D" w:themeColor="accent2"/>
            </w:tcBorders>
            <w:shd w:val="clear" w:color="auto" w:fill="C00000"/>
          </w:tcPr>
          <w:p w:rsidR="00A93B55" w:rsidRPr="00CD4188" w:rsidRDefault="00A93B55" w:rsidP="00F04FFF">
            <w:pPr>
              <w:rPr>
                <w:b/>
                <w:color w:val="FFFFFF" w:themeColor="background1"/>
                <w:sz w:val="28"/>
              </w:rPr>
            </w:pPr>
          </w:p>
        </w:tc>
      </w:tr>
    </w:tbl>
    <w:p w:rsidR="00DF0440" w:rsidRPr="005A367B" w:rsidRDefault="00DF0440" w:rsidP="00DF0440">
      <w:pPr>
        <w:pStyle w:val="Heading2"/>
        <w:shd w:val="clear" w:color="auto" w:fill="C00000"/>
        <w:rPr>
          <w:color w:val="FFFFFF" w:themeColor="background1"/>
        </w:rPr>
      </w:pPr>
      <w:bookmarkStart w:id="2" w:name="_Toc402966441"/>
      <w:bookmarkEnd w:id="0"/>
      <w:r w:rsidRPr="005A367B">
        <w:rPr>
          <w:color w:val="FFFFFF" w:themeColor="background1"/>
        </w:rPr>
        <w:t>For More Information</w:t>
      </w:r>
      <w:bookmarkEnd w:id="2"/>
    </w:p>
    <w:p w:rsidR="00F5076D" w:rsidRPr="00DF0440" w:rsidRDefault="00DF0440" w:rsidP="00DF0440">
      <w:pPr>
        <w:ind w:left="360" w:hanging="360"/>
        <w:rPr>
          <w:sz w:val="14"/>
        </w:rPr>
      </w:pPr>
      <w:r w:rsidRPr="00CA4BEB">
        <w:rPr>
          <w:sz w:val="24"/>
        </w:rPr>
        <w:t xml:space="preserve">Contact Brad Hasskamp at </w:t>
      </w:r>
      <w:hyperlink r:id="rId11" w:history="1">
        <w:r w:rsidRPr="00CA4BEB">
          <w:rPr>
            <w:rStyle w:val="Hyperlink"/>
            <w:sz w:val="24"/>
          </w:rPr>
          <w:t>brad.hasskamp@state.mn.us</w:t>
        </w:r>
      </w:hyperlink>
      <w:r w:rsidRPr="00CA4BEB">
        <w:rPr>
          <w:sz w:val="24"/>
        </w:rPr>
        <w:t xml:space="preserve"> or (651) 582-859</w:t>
      </w:r>
      <w:bookmarkStart w:id="3" w:name="_Minnesota_Standard_Adult"/>
      <w:bookmarkEnd w:id="3"/>
      <w:r w:rsidRPr="00CA4BEB">
        <w:rPr>
          <w:sz w:val="24"/>
        </w:rPr>
        <w:t>4</w:t>
      </w:r>
    </w:p>
    <w:sectPr w:rsidR="00F5076D" w:rsidRPr="00DF0440" w:rsidSect="008D3FC2">
      <w:headerReference w:type="default" r:id="rId12"/>
      <w:footerReference w:type="default" r:id="rId13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51E" w:rsidRDefault="007F051E" w:rsidP="00232178">
      <w:pPr>
        <w:spacing w:after="0" w:line="240" w:lineRule="auto"/>
      </w:pPr>
      <w:r>
        <w:separator/>
      </w:r>
    </w:p>
  </w:endnote>
  <w:endnote w:type="continuationSeparator" w:id="0">
    <w:p w:rsidR="007F051E" w:rsidRDefault="007F051E" w:rsidP="0023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1079948521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682D04" w:rsidRPr="00691C19" w:rsidRDefault="007D0515" w:rsidP="00C37C4B">
        <w:pPr>
          <w:pStyle w:val="Footer"/>
          <w:shd w:val="clear" w:color="auto" w:fill="C00000"/>
          <w:tabs>
            <w:tab w:val="clear" w:pos="9360"/>
            <w:tab w:val="right" w:pos="10080"/>
          </w:tabs>
          <w:rPr>
            <w:color w:val="FFFFFF" w:themeColor="background1"/>
          </w:rPr>
        </w:pPr>
        <w:r>
          <w:rPr>
            <w:b/>
            <w:i/>
            <w:color w:val="FFFFFF" w:themeColor="background1"/>
          </w:rPr>
          <w:t>State A</w:t>
        </w:r>
        <w:r w:rsidR="00CF6673" w:rsidRPr="00691C19">
          <w:rPr>
            <w:b/>
            <w:i/>
            <w:color w:val="FFFFFF" w:themeColor="background1"/>
          </w:rPr>
          <w:t xml:space="preserve">dult Diploma </w:t>
        </w:r>
        <w:r w:rsidR="008D3FC2" w:rsidRPr="00691C19">
          <w:rPr>
            <w:b/>
            <w:i/>
            <w:color w:val="FFFFFF" w:themeColor="background1"/>
          </w:rPr>
          <w:t>Overview</w:t>
        </w:r>
        <w:r w:rsidR="008D3FC2" w:rsidRPr="00691C19">
          <w:rPr>
            <w:b/>
            <w:i/>
            <w:color w:val="FFFFFF" w:themeColor="background1"/>
          </w:rPr>
          <w:tab/>
        </w:r>
        <w:r w:rsidR="00CF6673" w:rsidRPr="00691C19">
          <w:rPr>
            <w:color w:val="FFFFFF" w:themeColor="background1"/>
          </w:rPr>
          <w:tab/>
        </w:r>
        <w:r w:rsidR="00CF6673" w:rsidRPr="00691C19">
          <w:rPr>
            <w:color w:val="FFFFFF" w:themeColor="background1"/>
          </w:rPr>
          <w:fldChar w:fldCharType="begin"/>
        </w:r>
        <w:r w:rsidR="00CF6673" w:rsidRPr="00691C19">
          <w:rPr>
            <w:color w:val="FFFFFF" w:themeColor="background1"/>
          </w:rPr>
          <w:instrText xml:space="preserve"> PAGE   \* MERGEFORMAT </w:instrText>
        </w:r>
        <w:r w:rsidR="00CF6673" w:rsidRPr="00691C19">
          <w:rPr>
            <w:color w:val="FFFFFF" w:themeColor="background1"/>
          </w:rPr>
          <w:fldChar w:fldCharType="separate"/>
        </w:r>
        <w:r w:rsidR="00AB0C68">
          <w:rPr>
            <w:noProof/>
            <w:color w:val="FFFFFF" w:themeColor="background1"/>
          </w:rPr>
          <w:t>3</w:t>
        </w:r>
        <w:r w:rsidR="00CF6673" w:rsidRPr="00691C19">
          <w:rPr>
            <w:noProof/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51E" w:rsidRDefault="007F051E" w:rsidP="00232178">
      <w:pPr>
        <w:spacing w:after="0" w:line="240" w:lineRule="auto"/>
      </w:pPr>
      <w:r>
        <w:separator/>
      </w:r>
    </w:p>
  </w:footnote>
  <w:footnote w:type="continuationSeparator" w:id="0">
    <w:p w:rsidR="007F051E" w:rsidRDefault="007F051E" w:rsidP="0023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9000311"/>
      <w:docPartObj>
        <w:docPartGallery w:val="Watermarks"/>
        <w:docPartUnique/>
      </w:docPartObj>
    </w:sdtPr>
    <w:sdtEndPr/>
    <w:sdtContent>
      <w:p w:rsidR="00F2417F" w:rsidRDefault="00AB0C68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DC3C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982A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A56E17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B2A88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00C00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0EDD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0D9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8007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122A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2042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66CC5"/>
    <w:multiLevelType w:val="hybridMultilevel"/>
    <w:tmpl w:val="17768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405DA5"/>
    <w:multiLevelType w:val="hybridMultilevel"/>
    <w:tmpl w:val="125CDB96"/>
    <w:lvl w:ilvl="0" w:tplc="BFE06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4573D03"/>
    <w:multiLevelType w:val="hybridMultilevel"/>
    <w:tmpl w:val="B46C1BB2"/>
    <w:lvl w:ilvl="0" w:tplc="C14AE27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642343"/>
    <w:multiLevelType w:val="hybridMultilevel"/>
    <w:tmpl w:val="0A2E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A67C5B"/>
    <w:multiLevelType w:val="hybridMultilevel"/>
    <w:tmpl w:val="4D947738"/>
    <w:lvl w:ilvl="0" w:tplc="1FAE9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4815D3B"/>
    <w:multiLevelType w:val="hybridMultilevel"/>
    <w:tmpl w:val="4400283C"/>
    <w:lvl w:ilvl="0" w:tplc="E6FCF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0C07A5"/>
    <w:multiLevelType w:val="hybridMultilevel"/>
    <w:tmpl w:val="8C7292DC"/>
    <w:lvl w:ilvl="0" w:tplc="797AB3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BF00A30"/>
    <w:multiLevelType w:val="hybridMultilevel"/>
    <w:tmpl w:val="11CC17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BD66A36"/>
    <w:multiLevelType w:val="hybridMultilevel"/>
    <w:tmpl w:val="F0D008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0DB039E"/>
    <w:multiLevelType w:val="hybridMultilevel"/>
    <w:tmpl w:val="D728A8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9C5200"/>
    <w:multiLevelType w:val="hybridMultilevel"/>
    <w:tmpl w:val="5E7089DC"/>
    <w:lvl w:ilvl="0" w:tplc="22FC9382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C91076"/>
    <w:multiLevelType w:val="hybridMultilevel"/>
    <w:tmpl w:val="9A04FC76"/>
    <w:lvl w:ilvl="0" w:tplc="FB8A8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1D1ABF"/>
    <w:multiLevelType w:val="hybridMultilevel"/>
    <w:tmpl w:val="1A023BA8"/>
    <w:lvl w:ilvl="0" w:tplc="BFE06D64">
      <w:start w:val="1"/>
      <w:numFmt w:val="decimal"/>
      <w:pStyle w:val="ListParagraph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684229E"/>
    <w:multiLevelType w:val="hybridMultilevel"/>
    <w:tmpl w:val="98162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3A6FE3"/>
    <w:multiLevelType w:val="hybridMultilevel"/>
    <w:tmpl w:val="6792C99A"/>
    <w:lvl w:ilvl="0" w:tplc="A224E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422393"/>
    <w:multiLevelType w:val="hybridMultilevel"/>
    <w:tmpl w:val="E8C68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5474BC"/>
    <w:multiLevelType w:val="hybridMultilevel"/>
    <w:tmpl w:val="96DAA7C4"/>
    <w:lvl w:ilvl="0" w:tplc="A3CC6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242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5E0560"/>
    <w:multiLevelType w:val="hybridMultilevel"/>
    <w:tmpl w:val="AA88B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7F4BA0"/>
    <w:multiLevelType w:val="hybridMultilevel"/>
    <w:tmpl w:val="E14A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BA1577"/>
    <w:multiLevelType w:val="hybridMultilevel"/>
    <w:tmpl w:val="7A5EE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0E2AD4"/>
    <w:multiLevelType w:val="hybridMultilevel"/>
    <w:tmpl w:val="06D2EB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80498E"/>
    <w:multiLevelType w:val="hybridMultilevel"/>
    <w:tmpl w:val="0B949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D37819"/>
    <w:multiLevelType w:val="hybridMultilevel"/>
    <w:tmpl w:val="62700232"/>
    <w:lvl w:ilvl="0" w:tplc="A5122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8E2C88"/>
    <w:multiLevelType w:val="hybridMultilevel"/>
    <w:tmpl w:val="1A80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DA3136"/>
    <w:multiLevelType w:val="hybridMultilevel"/>
    <w:tmpl w:val="3EF6DA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D119FB"/>
    <w:multiLevelType w:val="hybridMultilevel"/>
    <w:tmpl w:val="B4DE5B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60F1C6D"/>
    <w:multiLevelType w:val="hybridMultilevel"/>
    <w:tmpl w:val="91E81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472798"/>
    <w:multiLevelType w:val="hybridMultilevel"/>
    <w:tmpl w:val="426CB3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9858EF"/>
    <w:multiLevelType w:val="hybridMultilevel"/>
    <w:tmpl w:val="38B8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815B2D"/>
    <w:multiLevelType w:val="multilevel"/>
    <w:tmpl w:val="4D0C2D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67D6E56"/>
    <w:multiLevelType w:val="hybridMultilevel"/>
    <w:tmpl w:val="69E86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A51504"/>
    <w:multiLevelType w:val="hybridMultilevel"/>
    <w:tmpl w:val="014C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030B9D"/>
    <w:multiLevelType w:val="hybridMultilevel"/>
    <w:tmpl w:val="5524E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0"/>
  </w:num>
  <w:num w:numId="14">
    <w:abstractNumId w:val="38"/>
  </w:num>
  <w:num w:numId="15">
    <w:abstractNumId w:val="28"/>
  </w:num>
  <w:num w:numId="16">
    <w:abstractNumId w:val="10"/>
  </w:num>
  <w:num w:numId="17">
    <w:abstractNumId w:val="33"/>
  </w:num>
  <w:num w:numId="18">
    <w:abstractNumId w:val="12"/>
  </w:num>
  <w:num w:numId="19">
    <w:abstractNumId w:val="13"/>
  </w:num>
  <w:num w:numId="20">
    <w:abstractNumId w:val="23"/>
  </w:num>
  <w:num w:numId="21">
    <w:abstractNumId w:val="15"/>
  </w:num>
  <w:num w:numId="22">
    <w:abstractNumId w:val="29"/>
  </w:num>
  <w:num w:numId="23">
    <w:abstractNumId w:val="31"/>
  </w:num>
  <w:num w:numId="24">
    <w:abstractNumId w:val="14"/>
    <w:lvlOverride w:ilvl="0">
      <w:startOverride w:val="1"/>
    </w:lvlOverride>
  </w:num>
  <w:num w:numId="25">
    <w:abstractNumId w:val="26"/>
  </w:num>
  <w:num w:numId="26">
    <w:abstractNumId w:val="32"/>
  </w:num>
  <w:num w:numId="27">
    <w:abstractNumId w:val="20"/>
  </w:num>
  <w:num w:numId="28">
    <w:abstractNumId w:val="19"/>
  </w:num>
  <w:num w:numId="29">
    <w:abstractNumId w:val="18"/>
  </w:num>
  <w:num w:numId="30">
    <w:abstractNumId w:val="35"/>
  </w:num>
  <w:num w:numId="31">
    <w:abstractNumId w:val="17"/>
  </w:num>
  <w:num w:numId="32">
    <w:abstractNumId w:val="24"/>
  </w:num>
  <w:num w:numId="33">
    <w:abstractNumId w:val="21"/>
  </w:num>
  <w:num w:numId="34">
    <w:abstractNumId w:val="27"/>
  </w:num>
  <w:num w:numId="35">
    <w:abstractNumId w:val="25"/>
  </w:num>
  <w:num w:numId="36">
    <w:abstractNumId w:val="16"/>
  </w:num>
  <w:num w:numId="37">
    <w:abstractNumId w:val="11"/>
  </w:num>
  <w:num w:numId="38">
    <w:abstractNumId w:val="22"/>
  </w:num>
  <w:num w:numId="39">
    <w:abstractNumId w:val="37"/>
  </w:num>
  <w:num w:numId="40">
    <w:abstractNumId w:val="30"/>
  </w:num>
  <w:num w:numId="41">
    <w:abstractNumId w:val="39"/>
  </w:num>
  <w:num w:numId="42">
    <w:abstractNumId w:val="42"/>
  </w:num>
  <w:num w:numId="43">
    <w:abstractNumId w:val="34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formatting="1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F3"/>
    <w:rsid w:val="0001359D"/>
    <w:rsid w:val="000169CB"/>
    <w:rsid w:val="00024FC0"/>
    <w:rsid w:val="0005190D"/>
    <w:rsid w:val="00054C47"/>
    <w:rsid w:val="00066EC8"/>
    <w:rsid w:val="00070A63"/>
    <w:rsid w:val="00074B02"/>
    <w:rsid w:val="000A7A60"/>
    <w:rsid w:val="000D5BC6"/>
    <w:rsid w:val="000E05B8"/>
    <w:rsid w:val="000F2B3E"/>
    <w:rsid w:val="000F689F"/>
    <w:rsid w:val="00103EFD"/>
    <w:rsid w:val="00104737"/>
    <w:rsid w:val="00124413"/>
    <w:rsid w:val="0012477A"/>
    <w:rsid w:val="00127C86"/>
    <w:rsid w:val="00130D81"/>
    <w:rsid w:val="001566AF"/>
    <w:rsid w:val="0016081D"/>
    <w:rsid w:val="00175597"/>
    <w:rsid w:val="00183D7A"/>
    <w:rsid w:val="001A2E20"/>
    <w:rsid w:val="001B09A1"/>
    <w:rsid w:val="001F6AFE"/>
    <w:rsid w:val="00230E19"/>
    <w:rsid w:val="00232178"/>
    <w:rsid w:val="00247CF3"/>
    <w:rsid w:val="00266741"/>
    <w:rsid w:val="00280EC8"/>
    <w:rsid w:val="00281A86"/>
    <w:rsid w:val="00294FAB"/>
    <w:rsid w:val="002C220F"/>
    <w:rsid w:val="002C4CA8"/>
    <w:rsid w:val="002D25CC"/>
    <w:rsid w:val="002F3F86"/>
    <w:rsid w:val="00323CEF"/>
    <w:rsid w:val="00334D37"/>
    <w:rsid w:val="00345755"/>
    <w:rsid w:val="00370290"/>
    <w:rsid w:val="003A40B9"/>
    <w:rsid w:val="003D2918"/>
    <w:rsid w:val="003F3A20"/>
    <w:rsid w:val="004025C1"/>
    <w:rsid w:val="00437C91"/>
    <w:rsid w:val="0048171E"/>
    <w:rsid w:val="004E211B"/>
    <w:rsid w:val="00560257"/>
    <w:rsid w:val="005820A7"/>
    <w:rsid w:val="005846FE"/>
    <w:rsid w:val="005926FE"/>
    <w:rsid w:val="00593071"/>
    <w:rsid w:val="005A367B"/>
    <w:rsid w:val="005A7549"/>
    <w:rsid w:val="005C7C4B"/>
    <w:rsid w:val="005F4C20"/>
    <w:rsid w:val="0060670D"/>
    <w:rsid w:val="00612EB2"/>
    <w:rsid w:val="00632FFF"/>
    <w:rsid w:val="00633CB3"/>
    <w:rsid w:val="00651E36"/>
    <w:rsid w:val="00682D04"/>
    <w:rsid w:val="00685D26"/>
    <w:rsid w:val="00691710"/>
    <w:rsid w:val="00691C19"/>
    <w:rsid w:val="00696B26"/>
    <w:rsid w:val="006D206B"/>
    <w:rsid w:val="006D234D"/>
    <w:rsid w:val="006F0369"/>
    <w:rsid w:val="007279BB"/>
    <w:rsid w:val="007315A1"/>
    <w:rsid w:val="00745591"/>
    <w:rsid w:val="007A0913"/>
    <w:rsid w:val="007D0515"/>
    <w:rsid w:val="007F051E"/>
    <w:rsid w:val="00801A07"/>
    <w:rsid w:val="00812CE4"/>
    <w:rsid w:val="008157E1"/>
    <w:rsid w:val="008339B9"/>
    <w:rsid w:val="00836949"/>
    <w:rsid w:val="008464E7"/>
    <w:rsid w:val="008706BC"/>
    <w:rsid w:val="00881C2D"/>
    <w:rsid w:val="008964C0"/>
    <w:rsid w:val="008A13A0"/>
    <w:rsid w:val="008B79D1"/>
    <w:rsid w:val="008D3FC2"/>
    <w:rsid w:val="008D563D"/>
    <w:rsid w:val="00903012"/>
    <w:rsid w:val="00915496"/>
    <w:rsid w:val="0097447D"/>
    <w:rsid w:val="00977735"/>
    <w:rsid w:val="00990FD4"/>
    <w:rsid w:val="009A1D2A"/>
    <w:rsid w:val="009B60FD"/>
    <w:rsid w:val="009C1173"/>
    <w:rsid w:val="009D351D"/>
    <w:rsid w:val="009F5A65"/>
    <w:rsid w:val="00A36E0F"/>
    <w:rsid w:val="00A40872"/>
    <w:rsid w:val="00A504E1"/>
    <w:rsid w:val="00A51265"/>
    <w:rsid w:val="00A64FF4"/>
    <w:rsid w:val="00A83C65"/>
    <w:rsid w:val="00A93B55"/>
    <w:rsid w:val="00AA3C09"/>
    <w:rsid w:val="00AB0C68"/>
    <w:rsid w:val="00AC26CF"/>
    <w:rsid w:val="00AD617B"/>
    <w:rsid w:val="00B135EF"/>
    <w:rsid w:val="00B2012D"/>
    <w:rsid w:val="00B446BE"/>
    <w:rsid w:val="00B45AD2"/>
    <w:rsid w:val="00B866DC"/>
    <w:rsid w:val="00BB76A4"/>
    <w:rsid w:val="00BF0344"/>
    <w:rsid w:val="00C17597"/>
    <w:rsid w:val="00C37C4B"/>
    <w:rsid w:val="00C41023"/>
    <w:rsid w:val="00C4646B"/>
    <w:rsid w:val="00C60127"/>
    <w:rsid w:val="00C62460"/>
    <w:rsid w:val="00C8268B"/>
    <w:rsid w:val="00C839B3"/>
    <w:rsid w:val="00C93F28"/>
    <w:rsid w:val="00CA41F5"/>
    <w:rsid w:val="00CF6673"/>
    <w:rsid w:val="00D019F7"/>
    <w:rsid w:val="00D967E0"/>
    <w:rsid w:val="00DA3F4D"/>
    <w:rsid w:val="00DC5C32"/>
    <w:rsid w:val="00DC78B0"/>
    <w:rsid w:val="00DF0440"/>
    <w:rsid w:val="00DF1C54"/>
    <w:rsid w:val="00E11991"/>
    <w:rsid w:val="00E45BEB"/>
    <w:rsid w:val="00E63F01"/>
    <w:rsid w:val="00E70A23"/>
    <w:rsid w:val="00E80DE2"/>
    <w:rsid w:val="00E9376A"/>
    <w:rsid w:val="00E93B6F"/>
    <w:rsid w:val="00E9493D"/>
    <w:rsid w:val="00EB6004"/>
    <w:rsid w:val="00EE2C6E"/>
    <w:rsid w:val="00F150C2"/>
    <w:rsid w:val="00F2417F"/>
    <w:rsid w:val="00F4200C"/>
    <w:rsid w:val="00F43C3A"/>
    <w:rsid w:val="00F5076D"/>
    <w:rsid w:val="00F614A8"/>
    <w:rsid w:val="00F6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 w:qFormat="1"/>
    <w:lsdException w:name="heading 2" w:locked="0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qFormat="1"/>
    <w:lsdException w:name="footer" w:locked="0" w:qFormat="1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A4087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39B9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39B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339B9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339B9"/>
    <w:pPr>
      <w:keepNext/>
      <w:keepLines/>
      <w:spacing w:before="200" w:after="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7455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339B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8339B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39B9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39B9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55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BodyText"/>
    <w:next w:val="BodyText"/>
    <w:uiPriority w:val="35"/>
    <w:qFormat/>
    <w:rsid w:val="008964C0"/>
    <w:pPr>
      <w:spacing w:line="240" w:lineRule="auto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aliases w:val="Bold"/>
    <w:basedOn w:val="DefaultParagraphFont"/>
    <w:uiPriority w:val="22"/>
    <w:qFormat/>
    <w:rsid w:val="00745591"/>
    <w:rPr>
      <w:b/>
      <w:bCs/>
    </w:rPr>
  </w:style>
  <w:style w:type="character" w:styleId="Emphasis">
    <w:name w:val="Emphasis"/>
    <w:aliases w:val="Italics"/>
    <w:basedOn w:val="DefaultParagraphFont"/>
    <w:uiPriority w:val="20"/>
    <w:qFormat/>
    <w:rsid w:val="00745591"/>
    <w:rPr>
      <w:i/>
      <w:iCs/>
    </w:rPr>
  </w:style>
  <w:style w:type="paragraph" w:styleId="NoSpacing">
    <w:name w:val="No Spacing"/>
    <w:basedOn w:val="BodyText"/>
    <w:uiPriority w:val="1"/>
    <w:qFormat/>
    <w:rsid w:val="000E05B8"/>
    <w:pPr>
      <w:spacing w:before="0" w:after="0" w:line="264" w:lineRule="auto"/>
    </w:pPr>
  </w:style>
  <w:style w:type="paragraph" w:styleId="ListParagraph">
    <w:name w:val="List Paragraph"/>
    <w:aliases w:val="Indented Paragraph"/>
    <w:basedOn w:val="BodyText"/>
    <w:next w:val="List"/>
    <w:autoRedefine/>
    <w:uiPriority w:val="34"/>
    <w:qFormat/>
    <w:rsid w:val="008D3FC2"/>
    <w:pPr>
      <w:numPr>
        <w:numId w:val="38"/>
      </w:numPr>
      <w:spacing w:before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97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97"/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75597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75597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75597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75597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75597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75597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75597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75597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75597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75597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paragraph" w:customStyle="1" w:styleId="BoldItalics">
    <w:name w:val="Bold+Italics"/>
    <w:basedOn w:val="Normal"/>
    <w:autoRedefine/>
    <w:qFormat/>
    <w:rsid w:val="00A40872"/>
    <w:rPr>
      <w:b/>
      <w:i/>
    </w:rPr>
  </w:style>
  <w:style w:type="table" w:styleId="TableGrid">
    <w:name w:val="Table Grid"/>
    <w:basedOn w:val="TableNormal"/>
    <w:uiPriority w:val="59"/>
    <w:locked/>
    <w:rsid w:val="00E80DE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A64FF4"/>
    <w:rPr>
      <w:sz w:val="16"/>
      <w:szCs w:val="16"/>
    </w:rPr>
  </w:style>
  <w:style w:type="paragraph" w:customStyle="1" w:styleId="Default">
    <w:name w:val="Default"/>
    <w:rsid w:val="00C93F28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801A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 w:qFormat="1"/>
    <w:lsdException w:name="heading 2" w:locked="0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qFormat="1"/>
    <w:lsdException w:name="footer" w:locked="0" w:qFormat="1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A4087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39B9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39B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339B9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339B9"/>
    <w:pPr>
      <w:keepNext/>
      <w:keepLines/>
      <w:spacing w:before="200" w:after="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7455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339B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8339B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39B9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39B9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55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BodyText"/>
    <w:next w:val="BodyText"/>
    <w:uiPriority w:val="35"/>
    <w:qFormat/>
    <w:rsid w:val="008964C0"/>
    <w:pPr>
      <w:spacing w:line="240" w:lineRule="auto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aliases w:val="Bold"/>
    <w:basedOn w:val="DefaultParagraphFont"/>
    <w:uiPriority w:val="22"/>
    <w:qFormat/>
    <w:rsid w:val="00745591"/>
    <w:rPr>
      <w:b/>
      <w:bCs/>
    </w:rPr>
  </w:style>
  <w:style w:type="character" w:styleId="Emphasis">
    <w:name w:val="Emphasis"/>
    <w:aliases w:val="Italics"/>
    <w:basedOn w:val="DefaultParagraphFont"/>
    <w:uiPriority w:val="20"/>
    <w:qFormat/>
    <w:rsid w:val="00745591"/>
    <w:rPr>
      <w:i/>
      <w:iCs/>
    </w:rPr>
  </w:style>
  <w:style w:type="paragraph" w:styleId="NoSpacing">
    <w:name w:val="No Spacing"/>
    <w:basedOn w:val="BodyText"/>
    <w:uiPriority w:val="1"/>
    <w:qFormat/>
    <w:rsid w:val="000E05B8"/>
    <w:pPr>
      <w:spacing w:before="0" w:after="0" w:line="264" w:lineRule="auto"/>
    </w:pPr>
  </w:style>
  <w:style w:type="paragraph" w:styleId="ListParagraph">
    <w:name w:val="List Paragraph"/>
    <w:aliases w:val="Indented Paragraph"/>
    <w:basedOn w:val="BodyText"/>
    <w:next w:val="List"/>
    <w:autoRedefine/>
    <w:uiPriority w:val="34"/>
    <w:qFormat/>
    <w:rsid w:val="008D3FC2"/>
    <w:pPr>
      <w:numPr>
        <w:numId w:val="38"/>
      </w:numPr>
      <w:spacing w:before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97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97"/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75597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75597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75597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75597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75597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75597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75597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75597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75597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75597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paragraph" w:customStyle="1" w:styleId="BoldItalics">
    <w:name w:val="Bold+Italics"/>
    <w:basedOn w:val="Normal"/>
    <w:autoRedefine/>
    <w:qFormat/>
    <w:rsid w:val="00A40872"/>
    <w:rPr>
      <w:b/>
      <w:i/>
    </w:rPr>
  </w:style>
  <w:style w:type="table" w:styleId="TableGrid">
    <w:name w:val="Table Grid"/>
    <w:basedOn w:val="TableNormal"/>
    <w:uiPriority w:val="59"/>
    <w:locked/>
    <w:rsid w:val="00E80DE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A64FF4"/>
    <w:rPr>
      <w:sz w:val="16"/>
      <w:szCs w:val="16"/>
    </w:rPr>
  </w:style>
  <w:style w:type="paragraph" w:customStyle="1" w:styleId="Default">
    <w:name w:val="Default"/>
    <w:rsid w:val="00C93F28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801A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rad.hasskamp@state.mn.u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rad.hasskamp@state.mn.u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1148A-A963-4A01-AFB8-2E33ECA9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Hasskamp, Brad</dc:creator>
  <cp:lastModifiedBy>Hasskamp, Brad</cp:lastModifiedBy>
  <cp:revision>12</cp:revision>
  <cp:lastPrinted>2015-02-11T19:32:00Z</cp:lastPrinted>
  <dcterms:created xsi:type="dcterms:W3CDTF">2015-02-04T17:41:00Z</dcterms:created>
  <dcterms:modified xsi:type="dcterms:W3CDTF">2015-10-21T17:44:00Z</dcterms:modified>
</cp:coreProperties>
</file>